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Quince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Ikarian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91,789.00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91,789.00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common stock, par value $0.001 ("Common Stock") of Quince Therapeutics, Inc. (the "Issuer"), held by Ikarian Healthcare Master Fund, L.P., a Cayman Islands exempted limited partnership (the "Fund"), and certain separately managed accounts. See Item 2 for more information. (2) The figure in Item 11 is based upon 1,017,063 shares of Common Stock of the Issuer outstanding as of July 29, 2026, as disclosed in the Issuer's Schedule 14A filed with the U.S. Securities and Exchange Commission (the "SEC")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Neil Shahrestani</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91,789.00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91,789.00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Common Stock of the Issuer held by the Fund and certain separately managed accounts. See Item 2 for more information. (2) The figure in Item 11 is based upon 1,017,063 shares of Common Stock of the Issuer outstanding as of July 29, 2026, as disclosed in the Issuer's Schedule 14A filed with the SEC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Quince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273,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jointly by and on behalf of each of Ikarian Capital, LLC, a Delaware limited liability company ("Ikarian Capital"), and Neil Shahrestani (together referred herein as the "Reporting Persons"). The Fund, and certain separately managed accounts managed by Ikarian Capital (collectively, the "Managed Accounts"), are the record owners of the securities covered by this statement. Ikarian Capital is an investment adviser registered under the Investment Advisers Act of 1940, as amended, and serves as investment manager to the Fund and as sub-adviser to the Managed Accounts, and may be deemed to have beneficial ownership of the securities covered by this statement through the investment discretion it has over the Fund and the Managed Accounts. Ikarian Capital is ultimately controlled, indirectly, by Mr. Shahrestani. Accordingly, Mr. Shahrestani may be deemed to indirectly beneficially own securities beneficially owned by Ikarian Capital. The Fund disclaims beneficial ownership of the shares held by the Managed Accounts. The Managed Accounts disclaim beneficial ownership of the shares held by the Fund.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Ikarian Capital, LLC, 100 Crescent Court, Suite 1620,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pages(s) hereto.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page(s) hereto.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information set forth in Item 2(a)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Ikarian Capital, LLC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Neil Shahrestani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Neil Shahrestani, Sole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Neil Shahrestani</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Neil Shahrestani</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Neil Shahrestani</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5146" w:type="dxa"/>
        <w:jc w:val="left"/>
        <w:tblInd w:w="0" w:type="dxa"/>
        <w:tblLayout w:type="fixed"/>
        <w:tblCellMar>
          <w:top w:w="28" w:type="dxa"/>
          <w:left w:w="28" w:type="dxa"/>
          <w:bottom w:w="28" w:type="dxa"/>
          <w:right w:w="28" w:type="dxa"/>
        </w:tblCellMar>
      </w:tblPr>
      <w:tblGrid>
        <w:gridCol w:w="5146"/>
      </w:tblGrid>
      <w:tr>
        <w:trPr/>
        <w:tc>
          <w:tcPr>
            <w:tcW w:w="5146" w:type="dxa"/>
            <w:tcBorders/>
            <w:vAlign w:val="center"/>
          </w:tcPr>
          <w:p>
            <w:pPr>
              <w:pStyle w:val="TableContents"/>
              <w:bidi w:val="0"/>
              <w:spacing w:before="0" w:after="283"/>
              <w:jc w:val="center"/>
              <w:rPr>
                <w:b/>
              </w:rPr>
            </w:pPr>
            <w:r>
              <w:rPr>
                <w:b/>
              </w:rPr>
              <w:t xml:space="preserve">Exhibit Information </w:t>
            </w:r>
          </w:p>
        </w:tc>
      </w:tr>
      <w:tr>
        <w:trPr/>
        <w:tc>
          <w:tcPr>
            <w:tcW w:w="5146" w:type="dxa"/>
            <w:tcBorders/>
            <w:vAlign w:val="center"/>
          </w:tcPr>
          <w:p>
            <w:pPr>
              <w:pStyle w:val="TableContents"/>
              <w:bidi w:val="0"/>
              <w:spacing w:before="0" w:after="283"/>
              <w:jc w:val="left"/>
              <w:rPr/>
            </w:pPr>
            <w:r>
              <w:rPr/>
              <w:t>Exhibit 99.1 Joint Filing Agreement (filed herewith).</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1564</Words>
  <Characters>7931</Characters>
  <CharactersWithSpaces>9466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