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_______________ to _______________</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001-38890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60" w:after="283"/>
        <w:jc w:val="center"/>
        <w:rPr>
          <w:rFonts w:ascii="Times New Roman;sans-serif" w:hAnsi="Times New Roman;sans-serif"/>
          <w:b/>
          <w:color w:val="000000"/>
          <w:sz w:val="44"/>
        </w:rPr>
      </w:pPr>
      <w:r>
        <w:rPr>
          <w:rFonts w:ascii="Times New Roman;sans-serif" w:hAnsi="Times New Roman;sans-serif"/>
          <w:b/>
          <w:color w:val="000000"/>
          <w:sz w:val="44"/>
        </w:rPr>
        <w:t>Quince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tbl>
      <w:tblPr>
        <w:tblW w:w="5354" w:type="dxa"/>
        <w:jc w:val="left"/>
        <w:tblInd w:w="0" w:type="dxa"/>
        <w:tblLayout w:type="fixed"/>
        <w:tblCellMar>
          <w:top w:w="28" w:type="dxa"/>
          <w:left w:w="28" w:type="dxa"/>
          <w:bottom w:w="28" w:type="dxa"/>
          <w:right w:w="28" w:type="dxa"/>
        </w:tblCellMar>
      </w:tblPr>
      <w:tblGrid>
        <w:gridCol w:w="1341"/>
        <w:gridCol w:w="1182"/>
        <w:gridCol w:w="1188"/>
        <w:gridCol w:w="480"/>
        <w:gridCol w:w="480"/>
        <w:gridCol w:w="683"/>
      </w:tblGrid>
      <w:tr>
        <w:trPr/>
        <w:tc>
          <w:tcPr>
            <w:tcW w:w="134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64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8"/>
              </w:rPr>
            </w:pPr>
            <w:r>
              <w:rPr>
                <w:rFonts w:ascii="Times New Roman;sans-serif" w:hAnsi="Times New Roman;sans-serif"/>
                <w:b/>
                <w:color w:val="000000"/>
                <w:sz w:val="18"/>
              </w:rPr>
              <w:t>90-1024039</w:t>
            </w:r>
          </w:p>
        </w:tc>
      </w:tr>
      <w:tr>
        <w:trPr/>
        <w:tc>
          <w:tcPr>
            <w:tcW w:w="3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bidi w:val="0"/>
              <w:spacing w:lineRule="auto" w:line="276" w:before="0" w:after="15"/>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(I.R.S. Employer</w:t>
              <w:br/>
              <w:t>Identification No.)</w:t>
            </w:r>
          </w:p>
        </w:tc>
      </w:tr>
      <w:tr>
        <w:trPr/>
        <w:tc>
          <w:tcPr>
            <w:tcW w:w="3711" w:type="dxa"/>
            <w:gridSpan w:val="3"/>
            <w:tcBorders/>
            <w:tcMar>
              <w:top w:w="0" w:type="dxa"/>
              <w:left w:w="0" w:type="dxa"/>
              <w:bottom w:w="0" w:type="dxa"/>
              <w:right w:w="0" w:type="dxa"/>
            </w:tcMar>
            <w:vAlign w:val="center"/>
          </w:tcPr>
          <w:p>
            <w:pPr>
              <w:pStyle w:val="TableContents"/>
              <w:bidi w:val="0"/>
              <w:spacing w:lineRule="auto" w:line="276" w:before="0" w:after="15"/>
              <w:jc w:val="center"/>
              <w:rPr>
                <w:rFonts w:ascii="Times New Roman;sans-serif" w:hAnsi="Times New Roman;sans-serif"/>
                <w:b/>
                <w:color w:val="000000"/>
                <w:sz w:val="18"/>
              </w:rPr>
            </w:pPr>
            <w:r>
              <w:rPr>
                <w:rFonts w:ascii="Times New Roman;sans-serif" w:hAnsi="Times New Roman;sans-serif"/>
                <w:b/>
                <w:color w:val="000000"/>
                <w:sz w:val="18"/>
              </w:rPr>
              <w:t>611 Gateway Boulevard, Suite 273</w:t>
            </w:r>
          </w:p>
          <w:p>
            <w:pPr>
              <w:pStyle w:val="TableContents"/>
              <w:bidi w:val="0"/>
              <w:spacing w:lineRule="auto" w:line="276" w:before="0" w:after="15"/>
              <w:jc w:val="center"/>
              <w:rPr>
                <w:rFonts w:ascii="Times New Roman;sans-serif" w:hAnsi="Times New Roman;sans-serif"/>
                <w:b/>
                <w:color w:val="000000"/>
                <w:sz w:val="18"/>
              </w:rPr>
            </w:pPr>
            <w:r>
              <w:rPr>
                <w:rFonts w:ascii="Times New Roman;sans-serif" w:hAnsi="Times New Roman;sans-serif"/>
                <w:b/>
                <w:color w:val="000000"/>
                <w:sz w:val="18"/>
              </w:rPr>
              <w:t>South San Francisco, California</w:t>
            </w:r>
          </w:p>
        </w:tc>
        <w:tc>
          <w:tcPr>
            <w:tcW w:w="164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8"/>
              </w:rPr>
            </w:pPr>
            <w:r>
              <w:rPr>
                <w:rFonts w:ascii="Times New Roman;sans-serif" w:hAnsi="Times New Roman;sans-serif"/>
                <w:b/>
                <w:color w:val="000000"/>
                <w:sz w:val="18"/>
              </w:rPr>
              <w:t>94080</w:t>
            </w:r>
          </w:p>
        </w:tc>
      </w:tr>
      <w:tr>
        <w:trPr/>
        <w:tc>
          <w:tcPr>
            <w:tcW w:w="37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64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r>
        <w:trPr/>
        <w:tc>
          <w:tcPr>
            <w:tcW w:w="5354" w:type="dxa"/>
            <w:gridSpan w:val="6"/>
            <w:tcBorders/>
            <w:tcMar>
              <w:top w:w="0" w:type="dxa"/>
              <w:left w:w="0" w:type="dxa"/>
              <w:bottom w:w="0" w:type="dxa"/>
              <w:right w:w="0" w:type="dxa"/>
            </w:tcMar>
            <w:vAlign w:val="center"/>
          </w:tcPr>
          <w:p>
            <w:pPr>
              <w:pStyle w:val="TableContents"/>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 (415) 910-5717</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w:t>
      </w:r>
    </w:p>
    <w:p>
      <w:pPr>
        <w:pStyle w:val="TextBody"/>
        <w:bidi w:val="0"/>
        <w:spacing w:lineRule="auto" w:line="288" w:before="40" w:after="283"/>
        <w:ind w:left="0" w:right="0" w:firstLine="12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12(b) of the Act: </w:t>
      </w:r>
    </w:p>
    <w:tbl>
      <w:tblPr>
        <w:tblW w:w="8572" w:type="dxa"/>
        <w:jc w:val="center"/>
        <w:tblInd w:w="0" w:type="dxa"/>
        <w:tblLayout w:type="fixed"/>
        <w:tblCellMar>
          <w:top w:w="28" w:type="dxa"/>
          <w:left w:w="28" w:type="dxa"/>
          <w:bottom w:w="28" w:type="dxa"/>
          <w:right w:w="28" w:type="dxa"/>
        </w:tblCellMar>
      </w:tblPr>
      <w:tblGrid>
        <w:gridCol w:w="1139"/>
        <w:gridCol w:w="999"/>
        <w:gridCol w:w="1012"/>
        <w:gridCol w:w="109"/>
        <w:gridCol w:w="109"/>
        <w:gridCol w:w="109"/>
        <w:gridCol w:w="484"/>
        <w:gridCol w:w="484"/>
        <w:gridCol w:w="486"/>
        <w:gridCol w:w="109"/>
        <w:gridCol w:w="109"/>
        <w:gridCol w:w="109"/>
        <w:gridCol w:w="970"/>
        <w:gridCol w:w="970"/>
        <w:gridCol w:w="1374"/>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327" w:type="dxa"/>
            <w:gridSpan w:val="3"/>
            <w:tcBorders>
              <w:top w:val="single" w:sz="4" w:space="0" w:color="FFFFFF"/>
              <w:bottom w:val="single" w:sz="4" w:space="0" w:color="FFFFFF"/>
            </w:tcBorders>
            <w:tcMar>
              <w:top w:w="30" w:type="dxa"/>
              <w:left w:w="0" w:type="dxa"/>
              <w:bottom w:w="30" w:type="dxa"/>
              <w:right w:w="0" w:type="dxa"/>
            </w:tcMar>
            <w:vAlign w:val="center"/>
          </w:tcPr>
          <w:p>
            <w:pPr>
              <w:pStyle w:val="TableContents"/>
              <w:bidi w:val="0"/>
              <w:spacing w:lineRule="auto" w:line="273" w:before="0" w:after="283"/>
              <w:jc w:val="center"/>
              <w:rPr>
                <w:color w:val="000000"/>
              </w:rPr>
            </w:pPr>
            <w:r>
              <w:rPr>
                <w:color w:val="000000"/>
              </w:rPr>
              <w:t> </w:t>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QNCX</w:t>
            </w:r>
          </w:p>
        </w:tc>
        <w:tc>
          <w:tcPr>
            <w:tcW w:w="327" w:type="dxa"/>
            <w:gridSpan w:val="3"/>
            <w:tcBorders>
              <w:top w:val="single" w:sz="4" w:space="0" w:color="FFFFFF"/>
              <w:bottom w:val="single" w:sz="4" w:space="0" w:color="FFFFFF"/>
            </w:tcBorders>
            <w:tcMar>
              <w:top w:w="30" w:type="dxa"/>
              <w:left w:w="0" w:type="dxa"/>
              <w:bottom w:w="30" w:type="dxa"/>
              <w:right w:w="0" w:type="dxa"/>
            </w:tcMar>
            <w:vAlign w:val="center"/>
          </w:tcPr>
          <w:p>
            <w:pPr>
              <w:pStyle w:val="TableContents"/>
              <w:bidi w:val="0"/>
              <w:spacing w:lineRule="auto" w:line="273" w:before="0" w:after="283"/>
              <w:jc w:val="center"/>
              <w:rPr>
                <w:color w:val="000000"/>
              </w:rPr>
            </w:pPr>
            <w:r>
              <w:rPr>
                <w:color w:val="000000"/>
              </w:rPr>
              <w:t> </w:t>
            </w:r>
          </w:p>
        </w:tc>
        <w:tc>
          <w:tcPr>
            <w:tcW w:w="33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12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75" w:type="dxa"/>
        <w:jc w:val="left"/>
        <w:tblInd w:w="0" w:type="dxa"/>
        <w:tblLayout w:type="fixed"/>
        <w:tblCellMar>
          <w:top w:w="28" w:type="dxa"/>
          <w:left w:w="28" w:type="dxa"/>
          <w:bottom w:w="28" w:type="dxa"/>
          <w:right w:w="28" w:type="dxa"/>
        </w:tblCellMar>
      </w:tblPr>
      <w:tblGrid>
        <w:gridCol w:w="124"/>
        <w:gridCol w:w="109"/>
        <w:gridCol w:w="109"/>
        <w:gridCol w:w="674"/>
        <w:gridCol w:w="674"/>
        <w:gridCol w:w="676"/>
        <w:gridCol w:w="109"/>
        <w:gridCol w:w="109"/>
        <w:gridCol w:w="109"/>
        <w:gridCol w:w="669"/>
        <w:gridCol w:w="669"/>
        <w:gridCol w:w="6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 of November 5, 2024, the registrant had 44,001,643 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03860"/>
                <wp:effectExtent l="0" t="0" r="0" b="0"/>
                <wp:wrapNone/>
                <wp:docPr id="1" name="Frame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720"/>
                        <w:jc w:val="center"/>
                        <w:rPr/>
                      </w:pPr>
                      <w:r>
                        <w:rPr/>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60" w:type="dxa"/>
        <w:jc w:val="left"/>
        <w:tblInd w:w="0" w:type="dxa"/>
        <w:tblLayout w:type="fixed"/>
        <w:tblCellMar>
          <w:top w:w="28" w:type="dxa"/>
          <w:left w:w="28" w:type="dxa"/>
          <w:bottom w:w="28" w:type="dxa"/>
          <w:right w:w="28" w:type="dxa"/>
        </w:tblCellMar>
      </w:tblPr>
      <w:tblGrid>
        <w:gridCol w:w="320"/>
        <w:gridCol w:w="281"/>
        <w:gridCol w:w="283"/>
        <w:gridCol w:w="2454"/>
        <w:gridCol w:w="2454"/>
        <w:gridCol w:w="2457"/>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6">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6">
              <w:r>
                <w:rPr>
                  <w:rStyle w:val="InternetLink"/>
                  <w:rFonts w:ascii="Times New Roman;sans-serif" w:hAnsi="Times New Roman;sans-serif"/>
                  <w:b w:val="false"/>
                  <w:color w:val="0000FF"/>
                  <w:sz w:val="20"/>
                  <w:u w:val="single"/>
                </w:rPr>
                <w:t>FINANCIAL INFORMATION</w:t>
              </w:r>
            </w:hyperlink>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9">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9">
              <w:r>
                <w:rPr>
                  <w:rStyle w:val="InternetLink"/>
                  <w:rFonts w:ascii="Times New Roman;sans-serif" w:hAnsi="Times New Roman;sans-serif"/>
                  <w:b w:val="false"/>
                  <w:color w:val="0000FF"/>
                  <w:sz w:val="20"/>
                  <w:u w:val="singl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9">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22">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22">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25">
              <w:r>
                <w:rPr>
                  <w:rStyle w:val="InternetLink"/>
                  <w:rFonts w:ascii="Times New Roman;sans-serif" w:hAnsi="Times New Roman;sans-serif"/>
                  <w:b w:val="false"/>
                  <w:color w:val="0000FF"/>
                  <w:sz w:val="20"/>
                  <w:u w:val="single"/>
                </w:rPr>
                <w:t>Condensed Consolidated Statements of Operations and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25">
              <w:r>
                <w:rPr>
                  <w:rStyle w:val="InternetLink"/>
                  <w:rFonts w:ascii="Times New Roman;sans-serif" w:hAnsi="Times New Roman;sans-serif"/>
                  <w:b w:val="false"/>
                  <w:strike w:val="false"/>
                  <w:dstrike w:val="false"/>
                  <w:color w:val="000000"/>
                  <w:sz w:val="20"/>
                  <w:u w:val="none"/>
                  <w:effect w:val="none"/>
                </w:rPr>
                <w:t>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28">
              <w:r>
                <w:rPr>
                  <w:rStyle w:val="InternetLink"/>
                  <w:rFonts w:ascii="Times New Roman;sans-serif" w:hAnsi="Times New Roman;sans-serif"/>
                  <w:b w:val="false"/>
                  <w:color w:val="0000FF"/>
                  <w:sz w:val="20"/>
                  <w:u w:val="single"/>
                </w:rPr>
                <w:t>Condensed Consolidated 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28">
              <w:r>
                <w:rPr>
                  <w:rStyle w:val="InternetLink"/>
                  <w:rFonts w:ascii="Times New Roman;sans-serif" w:hAnsi="Times New Roman;sans-serif"/>
                  <w:b w:val="false"/>
                  <w:strike w:val="false"/>
                  <w:dstrike w:val="false"/>
                  <w:color w:val="000000"/>
                  <w:sz w:val="20"/>
                  <w:u w:val="none"/>
                  <w:effect w:val="none"/>
                </w:rPr>
                <w:t>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34">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34">
              <w:r>
                <w:rPr>
                  <w:rStyle w:val="InternetLink"/>
                  <w:rFonts w:ascii="Times New Roman;sans-serif" w:hAnsi="Times New Roman;sans-serif"/>
                  <w:b w:val="false"/>
                  <w:strike w:val="false"/>
                  <w:dstrike w:val="false"/>
                  <w:color w:val="000000"/>
                  <w:sz w:val="20"/>
                  <w:u w:val="none"/>
                  <w:effect w:val="none"/>
                </w:rPr>
                <w:t>11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37">
              <w:r>
                <w:rPr>
                  <w:rStyle w:val="InternetLink"/>
                  <w:rFonts w:ascii="Times New Roman;sans-serif" w:hAnsi="Times New Roman;sans-serif"/>
                  <w:b w:val="false"/>
                  <w:color w:val="0000FF"/>
                  <w:sz w:val="20"/>
                  <w:u w:val="single"/>
                </w:rPr>
                <w:t>Notes to Unaudited Condensed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37">
              <w:r>
                <w:rPr>
                  <w:rStyle w:val="InternetLink"/>
                  <w:rFonts w:ascii="Times New Roman;sans-serif" w:hAnsi="Times New Roman;sans-serif"/>
                  <w:b w:val="false"/>
                  <w:strike w:val="false"/>
                  <w:dstrike w:val="false"/>
                  <w:color w:val="000000"/>
                  <w:sz w:val="20"/>
                  <w:u w:val="none"/>
                  <w:effect w:val="none"/>
                </w:rPr>
                <w:t>12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82">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82">
              <w:r>
                <w:rPr>
                  <w:rStyle w:val="InternetLink"/>
                  <w:rFonts w:ascii="Times New Roman;sans-serif" w:hAnsi="Times New Roman;sans-serif"/>
                  <w:b w:val="false"/>
                  <w:strike w:val="false"/>
                  <w:dstrike w:val="false"/>
                  <w:color w:val="000000"/>
                  <w:sz w:val="20"/>
                  <w:u w:val="none"/>
                  <w:effect w:val="none"/>
                </w:rPr>
                <w:t>35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09">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09">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09">
              <w:r>
                <w:rPr>
                  <w:rStyle w:val="InternetLink"/>
                  <w:rFonts w:ascii="Times New Roman;sans-serif" w:hAnsi="Times New Roman;sans-serif"/>
                  <w:b w:val="false"/>
                  <w:strike w:val="false"/>
                  <w:dstrike w:val="false"/>
                  <w:color w:val="000000"/>
                  <w:sz w:val="20"/>
                  <w:u w:val="none"/>
                  <w:effect w:val="none"/>
                </w:rPr>
                <w:t>49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12">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12">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12">
              <w:r>
                <w:rPr>
                  <w:rStyle w:val="InternetLink"/>
                  <w:rFonts w:ascii="Times New Roman;sans-serif" w:hAnsi="Times New Roman;sans-serif"/>
                  <w:b w:val="false"/>
                  <w:strike w:val="false"/>
                  <w:dstrike w:val="false"/>
                  <w:color w:val="000000"/>
                  <w:sz w:val="20"/>
                  <w:u w:val="none"/>
                  <w:effect w:val="none"/>
                </w:rPr>
                <w:t>49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15">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15">
              <w:r>
                <w:rPr>
                  <w:rStyle w:val="InternetLink"/>
                  <w:rFonts w:ascii="Times New Roman;sans-serif" w:hAnsi="Times New Roman;sans-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18">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18">
              <w:r>
                <w:rPr>
                  <w:rStyle w:val="InternetLink"/>
                  <w:rFonts w:ascii="Times New Roman;sans-serif" w:hAnsi="Times New Roman;sans-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18">
              <w:r>
                <w:rPr>
                  <w:rStyle w:val="InternetLink"/>
                  <w:rFonts w:ascii="Times New Roman;sans-serif" w:hAnsi="Times New Roman;sans-serif"/>
                  <w:b w:val="false"/>
                  <w:strike w:val="false"/>
                  <w:dstrike w:val="false"/>
                  <w:color w:val="000000"/>
                  <w:sz w:val="20"/>
                  <w:u w:val="none"/>
                  <w:effect w:val="none"/>
                </w:rPr>
                <w:t>51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21">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21">
              <w:r>
                <w:rPr>
                  <w:rStyle w:val="InternetLink"/>
                  <w:rFonts w:ascii="Times New Roman;sans-serif" w:hAnsi="Times New Roman;sans-serif"/>
                  <w:b w:val="false"/>
                  <w:color w:val="0000FF"/>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21">
              <w:r>
                <w:rPr>
                  <w:rStyle w:val="InternetLink"/>
                  <w:rFonts w:ascii="Times New Roman;sans-serif" w:hAnsi="Times New Roman;sans-serif"/>
                  <w:b w:val="false"/>
                  <w:strike w:val="false"/>
                  <w:dstrike w:val="false"/>
                  <w:color w:val="000000"/>
                  <w:sz w:val="20"/>
                  <w:u w:val="none"/>
                  <w:effect w:val="none"/>
                </w:rPr>
                <w:t>51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24">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24">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24">
              <w:r>
                <w:rPr>
                  <w:rStyle w:val="InternetLink"/>
                  <w:rFonts w:ascii="Times New Roman;sans-serif" w:hAnsi="Times New Roman;sans-serif"/>
                  <w:b w:val="false"/>
                  <w:strike w:val="false"/>
                  <w:dstrike w:val="false"/>
                  <w:color w:val="000000"/>
                  <w:sz w:val="20"/>
                  <w:u w:val="none"/>
                  <w:effect w:val="none"/>
                </w:rPr>
                <w:t>105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27">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27">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27">
              <w:r>
                <w:rPr>
                  <w:rStyle w:val="InternetLink"/>
                  <w:rFonts w:ascii="Times New Roman;sans-serif" w:hAnsi="Times New Roman;sans-serif"/>
                  <w:b w:val="false"/>
                  <w:strike w:val="false"/>
                  <w:dstrike w:val="false"/>
                  <w:color w:val="000000"/>
                  <w:sz w:val="20"/>
                  <w:u w:val="none"/>
                  <w:effect w:val="none"/>
                </w:rPr>
                <w:t>105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30">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30">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30">
              <w:r>
                <w:rPr>
                  <w:rStyle w:val="InternetLink"/>
                  <w:rFonts w:ascii="Times New Roman;sans-serif" w:hAnsi="Times New Roman;sans-serif"/>
                  <w:b w:val="false"/>
                  <w:strike w:val="false"/>
                  <w:dstrike w:val="false"/>
                  <w:color w:val="000000"/>
                  <w:sz w:val="20"/>
                  <w:u w:val="none"/>
                  <w:effect w:val="none"/>
                </w:rPr>
                <w:t>105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33">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33">
              <w:r>
                <w:rPr>
                  <w:rStyle w:val="InternetLink"/>
                  <w:rFonts w:ascii="Times New Roman;sans-serif" w:hAnsi="Times New Roman;sans-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33">
              <w:r>
                <w:rPr>
                  <w:rStyle w:val="InternetLink"/>
                  <w:rFonts w:ascii="Times New Roman;sans-serif" w:hAnsi="Times New Roman;sans-serif"/>
                  <w:b w:val="false"/>
                  <w:strike w:val="false"/>
                  <w:dstrike w:val="false"/>
                  <w:color w:val="000000"/>
                  <w:sz w:val="20"/>
                  <w:u w:val="none"/>
                  <w:effect w:val="none"/>
                </w:rPr>
                <w:t>105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36">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36">
              <w:r>
                <w:rPr>
                  <w:rStyle w:val="InternetLink"/>
                  <w:rFonts w:ascii="Times New Roman;sans-serif" w:hAnsi="Times New Roman;sans-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36">
              <w:r>
                <w:rPr>
                  <w:rStyle w:val="InternetLink"/>
                  <w:rFonts w:ascii="Times New Roman;sans-serif" w:hAnsi="Times New Roman;sans-serif"/>
                  <w:b w:val="false"/>
                  <w:strike w:val="false"/>
                  <w:dstrike w:val="false"/>
                  <w:color w:val="000000"/>
                  <w:sz w:val="20"/>
                  <w:u w:val="none"/>
                  <w:effect w:val="none"/>
                </w:rPr>
                <w:t>106</w:t>
              </w:r>
            </w:hyperlink>
          </w:p>
        </w:tc>
      </w:tr>
      <w:tr>
        <w:trPr/>
        <w:tc>
          <w:tcPr>
            <w:tcW w:w="8249"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24af8b06e6e4d1f8cd6bec84d21e200_139">
              <w:r>
                <w:rPr>
                  <w:rStyle w:val="InternetLink"/>
                  <w:rFonts w:ascii="Times New Roman;sans-serif" w:hAnsi="Times New Roman;sans-serif"/>
                  <w:b w:val="false"/>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24af8b06e6e4d1f8cd6bec84d21e200_139">
              <w:r>
                <w:rPr>
                  <w:rStyle w:val="InternetLink"/>
                  <w:rFonts w:ascii="Times New Roman;sans-serif" w:hAnsi="Times New Roman;sans-serif"/>
                  <w:b w:val="false"/>
                  <w:strike w:val="false"/>
                  <w:dstrike w:val="false"/>
                  <w:color w:val="000000"/>
                  <w:sz w:val="20"/>
                  <w:u w:val="none"/>
                  <w:effect w:val="none"/>
                </w:rPr>
                <w:t>107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contains forward-looking statements. All statements other than statements of historical facts contained in this report, including statements regarding our future results of operations and financial position, business strategy, drug candidates, planned preclinical studies and clinical trials, research and development costs, regulatory approvals, timing and likelihood of success, as well as plans and objectives of management for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section titled “Risk Factors” set forth in Part II, Item 1A of this Quarterly Report on Form 10-Q and in our other filings with the SEC.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may differ materially and adversely from those anticipated or implied in the forward-looking statements. Forward-looking statements contained in this Quarterly Report on Form 10-Q include, but are not limited to, statements about: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successfully execute on our current strategic direction;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future research and development activities, including the scope, success, cost and timing of any future development activities, preclinical studies and clinical trials, including clinical trials of EryDex or other pipeline compounds we advance through the drug development process;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timing and focus of any potential future clinical trials, and the reporting of data from those trials;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and timing of seeking and obtaining FDA and any other regulatory approvals for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willingness of the FDA or other regulatory authorities to accept any future completed or planned clinical and preclinical studies and other work, as the basis for review and approval of our drug candidates for their respective indications;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whether regulatory authorities determine that additional trials or data are necessary in order to accept a new drug application for review and/or approval;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ability of any future clinical trials to demonstrate safety and efficacy of our EryDex and other drug candidates, and other positive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sufficiency of our existing cash and cash equivalents to fund our future operating expenses and capital expenditure requirements;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accuracy of our estimates regarding expenses, future revenue, capital requirements, and needs for additional financing;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expectations related to the use of our available cash;</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service our debt obligations and maintain compliance with associated covenants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obtain funding for our operations, including funding necessary to develop and commercialize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expectations regarding the potential market size and the size of the patient populations for our drug candidates, if approved for commercial use, and the potential market opportunities for commercializing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plans relating to commercializing our drug candidates, if approved;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plans and ability to establish sales, marketing and distribution infrastructure to commercialize any drug candidates for which we obtain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attract and retain key scientific and clinical personnel, in light of recent management changes and reduction in force;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contract with third-party suppliers and manufacturers and their ability to perform adequately;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reliance on third parties to conduct clinical trials of our drug candidates, and for the manufacture of our drug candidates for preclinical studies and clinical trials;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dependence upon the integrity of our supply chain, including multiple single-source suppliers;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reliance on third-party suppliers for certain of our raw materials and components;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expand our drug candidates into additional indications and patient populations;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beneficial characteristics, safety and efficacy of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governmental or regulatory delays, information requests, clinical holds, and regulatory developments in the United States and other jurisdictions;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obtain and maintain regulatory approval of our drug candidates, and any related restrictions, limitations and/or warnings in the label of any approved drug candidate;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obtain and maintain CE Certificates of conformity for the medical device components of our EryDex System in accordance with applicable legislation governing medical devices;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transition CE Certifications under the previous Medical Device Directive, to a regulatory framework under MDR;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plans and ability to obtain or protect intellectual property rights, including extensions of existing patent terms where available;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scope of protection we are able to establish and maintain for intellectual property rights covering our drug candidates and technology;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potential claims relating to our intellectual property;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grow our organization and increase the size of our facilities to meet our anticipated growth;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maintain compliance with Nasdaq listing requirements.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Quarterly Report on Form 10-Q or to conform these statements to actual results or revised expectations.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with the understanding that our actual future results, levels of activity, performance and events and circumstances may be materially different from what we expect.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estimates, projections and other information concerning our industry, our business and the markets for our drug candidates. We obtained the industry, market and similar data set forth in this report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DEFINED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to “Quince,” “the Company,” “we,” “us,” or “our” in this Quarterly Report on Form 10-Q refer to Quince Therapeutics, Inc. and its consolidated subsidiaries. We also have used several other terms in this Quarterly Report on Form 10-Q, most of which are explained or defined below.</w:t>
      </w:r>
    </w:p>
    <w:tbl>
      <w:tblPr>
        <w:tblW w:w="10205" w:type="dxa"/>
        <w:jc w:val="left"/>
        <w:tblInd w:w="0" w:type="dxa"/>
        <w:tblLayout w:type="fixed"/>
        <w:tblCellMar>
          <w:top w:w="28" w:type="dxa"/>
          <w:left w:w="28" w:type="dxa"/>
          <w:bottom w:w="28" w:type="dxa"/>
          <w:right w:w="28" w:type="dxa"/>
        </w:tblCellMar>
      </w:tblPr>
      <w:tblGrid>
        <w:gridCol w:w="524"/>
        <w:gridCol w:w="461"/>
        <w:gridCol w:w="462"/>
        <w:gridCol w:w="2820"/>
        <w:gridCol w:w="2526"/>
        <w:gridCol w:w="3412"/>
      </w:tblGrid>
      <w:tr>
        <w:trPr/>
        <w:tc>
          <w:tcPr>
            <w:tcW w:w="5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Abbreviated Term</w:t>
            </w:r>
          </w:p>
        </w:tc>
        <w:tc>
          <w:tcPr>
            <w:tcW w:w="8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Defined Term</w:t>
            </w:r>
          </w:p>
        </w:tc>
      </w:tr>
      <w:tr>
        <w:trPr/>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 Tax Act</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Cuts and Jobs Act of 2017</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3PLs</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Logistics Providers</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AIA</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Leahy-Smith America Invents Act</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AIDE</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Autologous Intracellular Drug Encapsulation</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ANDA</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Abbreviated New Drug Application</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ARB</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Angiotensin Receptor Blockers</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Ataxia-Telangiectasia</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ATTeST</w:t>
            </w:r>
          </w:p>
        </w:tc>
        <w:tc>
          <w:tcPr>
            <w:tcW w:w="8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Ataxia Telangiectasia Trial with the EryDex System</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CARES Act</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Coronavirus Aid, Relief, and Economic Security Act</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C-GIC</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Global Impression of Change</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Cmax</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highest (peak) concentration of a drug in the bloodstream or other part of the body after drug administration</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CMC</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Chemistry Manufacturing Controls</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CMO</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Manufacturing Organization</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CMS</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 for Medicare and Medicaid Services</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Code</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 of 1986, as amended</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COSO framework</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Control-Integrated Framework issued by the Committee of Sponsoring Organizations of the Treadway Commission</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Coronavirus disease</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CPA</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Certified Public Accountant</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Research Organization</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CTA</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 Application</w:t>
            </w:r>
          </w:p>
        </w:tc>
      </w:tr>
      <w:tr>
        <w:trPr/>
        <w:tc>
          <w:tcPr>
            <w:tcW w:w="14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Agreement </w:t>
            </w:r>
          </w:p>
        </w:tc>
        <w:tc>
          <w:tcPr>
            <w:tcW w:w="8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line of credit agreement between EryDel and the European Investment Bank, which the Company assumed on October 20, 2023 in connection with the EryDel Acquisition</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DMD</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Duchenne muscular dystrophy</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DOJ</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Department of Justice</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DSMB</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Safety Monitoring Board</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DSP</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Dexamethasone Sodium Phosphate</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Commission</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European Medicines Agency </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EryDel</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Quince Therapeutics, S.p.A (previously named EryDel S.p.A.)</w:t>
            </w:r>
          </w:p>
        </w:tc>
      </w:tr>
      <w:tr>
        <w:trPr/>
        <w:tc>
          <w:tcPr>
            <w:tcW w:w="1447"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EryDex</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blood cell encapsulated dexamethasone sodium phosphate</w:t>
            </w:r>
          </w:p>
        </w:tc>
      </w:tr>
      <w:tr>
        <w:trPr/>
        <w:tc>
          <w:tcPr>
            <w:tcW w:w="14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EryDex System</w:t>
            </w:r>
          </w:p>
        </w:tc>
        <w:tc>
          <w:tcPr>
            <w:tcW w:w="8758"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Automated combination product to encapsulate dexamethasone sodium phosphate in Red blood cells</w:t>
            </w:r>
          </w:p>
        </w:tc>
      </w:tr>
      <w:tr>
        <w:trPr/>
        <w:tc>
          <w:tcPr>
            <w:tcW w:w="14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EIB</w:t>
            </w:r>
          </w:p>
        </w:tc>
        <w:tc>
          <w:tcPr>
            <w:tcW w:w="8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European Investment Bank</w:t>
            </w:r>
          </w:p>
        </w:tc>
      </w:tr>
      <w:tr>
        <w:trPr/>
        <w:tc>
          <w:tcPr>
            <w:tcW w:w="1447" w:type="dxa"/>
            <w:gridSpan w:val="3"/>
            <w:tcBorders>
              <w:top w:val="single" w:sz="8" w:space="0" w:color="000000"/>
              <w:left w:val="single" w:sz="8" w:space="0" w:color="000000"/>
              <w:bottom w:val="single" w:sz="8" w:space="0" w:color="000000"/>
            </w:tcBorders>
            <w:tcMar>
              <w:top w:w="30" w:type="dxa"/>
              <w:left w:w="83"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758" w:type="dxa"/>
            <w:gridSpan w:val="3"/>
            <w:tcBorders>
              <w:top w:val="single" w:sz="8" w:space="0" w:color="000000"/>
              <w:left w:val="single" w:sz="8" w:space="0" w:color="000000"/>
              <w:bottom w:val="single" w:sz="8" w:space="0" w:color="000000"/>
              <w:right w:val="single" w:sz="8" w:space="0" w:color="000000"/>
            </w:tcBorders>
            <w:tcMar>
              <w:top w:w="30" w:type="dxa"/>
              <w:left w:w="83" w:type="dxa"/>
              <w:bottom w:w="3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610"/>
        <w:gridCol w:w="348"/>
        <w:gridCol w:w="343"/>
        <w:gridCol w:w="3121"/>
        <w:gridCol w:w="2407"/>
        <w:gridCol w:w="3376"/>
      </w:tblGrid>
      <w:tr>
        <w:trPr/>
        <w:tc>
          <w:tcPr>
            <w:tcW w:w="61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EIB Loan</w:t>
            </w:r>
          </w:p>
        </w:tc>
        <w:tc>
          <w:tcPr>
            <w:tcW w:w="8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line of credit between EryDel and the European Investment Bank</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EryKit</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 sterile kit component of the EryDex System</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FCPA</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Assets Controls, the United States Foreign Corrupt Practices Act of 1977</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Food and Drug Administration</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GCP</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 Clinical Practice</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GDPR</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Data Protection Regulation</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GLP</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 Laboratory Practice</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GMP</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 Manufacturing Practice</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HHS</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Department of Health and Human Services</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HIPAA</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Insurance Portability and Accountability Act of 1996</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HITECH</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Information Technology for Economic and Clinical Health Act of 2009</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HPA</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Hypothalamic-Pituitary-Adrenal (HPA) Axis</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HTA</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Technology Assessment</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ICARS</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Cooperative Ataxia Rating Scale</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New Drug</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Public Offering</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IRA</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 Reduction Act of 2022</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IRB</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Review Board</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ITT</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Intent To Treat</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Jefferies</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Jefferies LLC</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Lighthouse</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Lighthouse Pharmaceuticals, Inc.</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LSM</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Least Square Mean</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Authorization Application</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MAD</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Multiple Ascending Dose</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MDD</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Devices Directive</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MDR</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Devices Regulation 2017/745</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mICARS</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Modified International Cooperative Ataxia Rating Scale</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MHRA</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United Kingdom Medicines and Healthcare Products Regulatory Agency </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MPEEM</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Multi-Period Excess Earnings Method</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NCE</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Chemical Entity</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NDA</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NEAT</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EryDex Phase 3 Trial (Neurologic Effects of EryDex on Subjects with A-T)</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NIH</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Institute of Health</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Novosteo</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Novosteo, Inc.</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PCAOB</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Company Accounting Oversight Board</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PCT</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 Cooperation Treaty</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PD</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Pharmacodynamic</w:t>
            </w:r>
          </w:p>
        </w:tc>
      </w:tr>
      <w:tr>
        <w:trPr/>
        <w:tc>
          <w:tcPr>
            <w:tcW w:w="1301"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PDMA</w:t>
            </w:r>
          </w:p>
        </w:tc>
        <w:tc>
          <w:tcPr>
            <w:tcW w:w="8904"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Prescription Drug Marketing Act</w:t>
            </w:r>
          </w:p>
        </w:tc>
      </w:tr>
      <w:tr>
        <w:trPr/>
        <w:tc>
          <w:tcPr>
            <w:tcW w:w="1301" w:type="dxa"/>
            <w:gridSpan w:val="3"/>
            <w:tcBorders>
              <w:top w:val="single" w:sz="8" w:space="0" w:color="000000"/>
              <w:left w:val="single" w:sz="8" w:space="0" w:color="000000"/>
              <w:bottom w:val="single" w:sz="8" w:space="0" w:color="000000"/>
            </w:tcBorders>
            <w:tcMar>
              <w:top w:w="30" w:type="dxa"/>
              <w:left w:w="83"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solutions</w:t>
            </w:r>
          </w:p>
        </w:tc>
        <w:tc>
          <w:tcPr>
            <w:tcW w:w="8904" w:type="dxa"/>
            <w:gridSpan w:val="3"/>
            <w:tcBorders>
              <w:top w:val="single" w:sz="8" w:space="0" w:color="000000"/>
              <w:left w:val="single" w:sz="8" w:space="0" w:color="000000"/>
              <w:bottom w:val="single" w:sz="8" w:space="0" w:color="000000"/>
              <w:right w:val="single" w:sz="8" w:space="0" w:color="000000"/>
            </w:tcBorders>
            <w:tcMar>
              <w:top w:w="30" w:type="dxa"/>
              <w:left w:w="83" w:type="dxa"/>
              <w:bottom w:w="3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(Hypotonic Solutions 1&amp; 2 and Hypertonic Solution PIGPA) sterile solutions to allow drug encapsulation and restoring the physiological osmolarity during EryDex process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692"/>
        <w:gridCol w:w="542"/>
        <w:gridCol w:w="552"/>
        <w:gridCol w:w="2806"/>
        <w:gridCol w:w="2315"/>
        <w:gridCol w:w="3298"/>
      </w:tblGrid>
      <w:tr>
        <w:trPr/>
        <w:tc>
          <w:tcPr>
            <w:tcW w:w="69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 Protocol Population is all patients who enrolled into the study and fulfilled all inclusion/exclusion criteria, did not have any major protocol violations, and completed the initial treatment period of the study as planned. </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PK</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Pharmacokinetic</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PPACA</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Protection and Affordable Care Act as amended by the Health Care and Education Reconciliation Act of 2010</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PRF</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Purdue Research Foundation</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PTE</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 Term Extension</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RCL</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Cell Loader, the machine that encapsulates drug into red blood cells</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Registrational or pivotal trial</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adequate and well-controlled trial designed to be sufficient to apply for regulatory approval of a drug candidate, although notwithstanding the Company’s design a regulatory agency may determine that further clinical studies or data are required</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RmICARS</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Rescored modified International Cooperative Ataxia Rating Scale</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RBC</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Blood Cell</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SAD</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Ascending Dose</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SAE</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Serious Adverse Event</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Sarbanes-Oxley Act</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Sarbanes-Oxley Act of 2002</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Protocol Assessment</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Syringe Kit</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Device for anticoagulated blood collection and for the sterile connection to the EryKit</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TCA </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Trade and Cooperation Agreement</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TEAE</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Treatment-Emergent Adverse Effect</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UPC</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Unified Patent Court</w:t>
            </w:r>
          </w:p>
        </w:tc>
      </w:tr>
      <w:tr>
        <w:trPr/>
        <w:tc>
          <w:tcPr>
            <w:tcW w:w="1786" w:type="dxa"/>
            <w:gridSpan w:val="3"/>
            <w:tcBorders>
              <w:top w:val="single" w:sz="8" w:space="0" w:color="000000"/>
              <w:left w:val="single" w:sz="8" w:space="0" w:color="000000"/>
            </w:tcBorders>
            <w:tcMar>
              <w:top w:w="30" w:type="dxa"/>
              <w:left w:w="83"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USPTO</w:t>
            </w:r>
          </w:p>
        </w:tc>
        <w:tc>
          <w:tcPr>
            <w:tcW w:w="8419"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Patent and Trademark Office</w:t>
            </w:r>
          </w:p>
        </w:tc>
      </w:tr>
      <w:tr>
        <w:trPr/>
        <w:tc>
          <w:tcPr>
            <w:tcW w:w="1786" w:type="dxa"/>
            <w:gridSpan w:val="3"/>
            <w:tcBorders>
              <w:top w:val="single" w:sz="8" w:space="0" w:color="000000"/>
              <w:left w:val="single" w:sz="8" w:space="0" w:color="000000"/>
              <w:bottom w:val="single" w:sz="8" w:space="0" w:color="000000"/>
            </w:tcBorders>
            <w:tcMar>
              <w:top w:w="30" w:type="dxa"/>
              <w:left w:w="83"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w:t>
            </w:r>
          </w:p>
        </w:tc>
        <w:tc>
          <w:tcPr>
            <w:tcW w:w="8419" w:type="dxa"/>
            <w:gridSpan w:val="3"/>
            <w:tcBorders>
              <w:top w:val="single" w:sz="8" w:space="0" w:color="000000"/>
              <w:left w:val="single" w:sz="8" w:space="0" w:color="000000"/>
              <w:bottom w:val="single" w:sz="8" w:space="0" w:color="000000"/>
              <w:right w:val="single" w:sz="8" w:space="0" w:color="000000"/>
            </w:tcBorders>
            <w:tcMar>
              <w:top w:w="30" w:type="dxa"/>
              <w:left w:w="83" w:type="dxa"/>
              <w:bottom w:w="3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Veterans Affairs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QUINCE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3001"/>
        <w:gridCol w:w="2219"/>
        <w:gridCol w:w="2184"/>
        <w:gridCol w:w="230"/>
        <w:gridCol w:w="864"/>
        <w:gridCol w:w="127"/>
        <w:gridCol w:w="109"/>
        <w:gridCol w:w="109"/>
        <w:gridCol w:w="109"/>
        <w:gridCol w:w="225"/>
        <w:gridCol w:w="847"/>
        <w:gridCol w:w="181"/>
      </w:tblGrid>
      <w:tr>
        <w:trPr/>
        <w:tc>
          <w:tcPr>
            <w:tcW w:w="3001"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77,440 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126,519 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167,900 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contingent consideration</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contingent consideration</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81,587 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82,816 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10,000,000 authorized, (100,000 shares of which are designated as Series A Junior Participating Preferred Stock), no shares issued and outstanding as of September 30, 2024 and December 31, 2023, respectively.</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100,000,000 shares authorized, 43,276,606 and 42,973,215 issued and outstanding as of September 30, 2024 and December 31, 2023, respectively.</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(364,014)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(319,644)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44,932 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85,084 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126,519 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167,900 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QUINCE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820"/>
        <w:gridCol w:w="1434"/>
        <w:gridCol w:w="1440"/>
        <w:gridCol w:w="241"/>
        <w:gridCol w:w="757"/>
        <w:gridCol w:w="119"/>
        <w:gridCol w:w="119"/>
        <w:gridCol w:w="119"/>
        <w:gridCol w:w="119"/>
        <w:gridCol w:w="241"/>
        <w:gridCol w:w="757"/>
        <w:gridCol w:w="119"/>
        <w:gridCol w:w="109"/>
        <w:gridCol w:w="109"/>
        <w:gridCol w:w="109"/>
        <w:gridCol w:w="212"/>
        <w:gridCol w:w="784"/>
        <w:gridCol w:w="109"/>
        <w:gridCol w:w="109"/>
        <w:gridCol w:w="109"/>
        <w:gridCol w:w="109"/>
        <w:gridCol w:w="212"/>
        <w:gridCol w:w="784"/>
        <w:gridCol w:w="165"/>
      </w:tblGrid>
      <w:tr>
        <w:trPr/>
        <w:tc>
          <w:tcPr>
            <w:tcW w:w="182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5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impairment charge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 for contingent consideration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 for long-term debt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 benefit</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basic and diluted</w:t>
            </w:r>
          </w:p>
        </w:tc>
        <w:tc>
          <w:tcPr>
            <w:tcW w:w="111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43,164,136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36,073,040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43,090,632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35,941,234</w:t>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QUINCE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910"/>
        <w:gridCol w:w="560"/>
        <w:gridCol w:w="562"/>
        <w:gridCol w:w="109"/>
        <w:gridCol w:w="109"/>
        <w:gridCol w:w="109"/>
        <w:gridCol w:w="334"/>
        <w:gridCol w:w="336"/>
        <w:gridCol w:w="308"/>
        <w:gridCol w:w="109"/>
        <w:gridCol w:w="109"/>
        <w:gridCol w:w="109"/>
        <w:gridCol w:w="212"/>
        <w:gridCol w:w="359"/>
        <w:gridCol w:w="120"/>
        <w:gridCol w:w="109"/>
        <w:gridCol w:w="109"/>
        <w:gridCol w:w="109"/>
        <w:gridCol w:w="196"/>
        <w:gridCol w:w="736"/>
        <w:gridCol w:w="109"/>
        <w:gridCol w:w="109"/>
        <w:gridCol w:w="109"/>
        <w:gridCol w:w="109"/>
        <w:gridCol w:w="288"/>
        <w:gridCol w:w="819"/>
        <w:gridCol w:w="161"/>
        <w:gridCol w:w="109"/>
        <w:gridCol w:w="109"/>
        <w:gridCol w:w="109"/>
        <w:gridCol w:w="196"/>
        <w:gridCol w:w="761"/>
        <w:gridCol w:w="109"/>
        <w:gridCol w:w="109"/>
        <w:gridCol w:w="109"/>
        <w:gridCol w:w="109"/>
        <w:gridCol w:w="228"/>
        <w:gridCol w:w="754"/>
        <w:gridCol w:w="185"/>
      </w:tblGrid>
      <w:tr>
        <w:trPr/>
        <w:tc>
          <w:tcPr>
            <w:tcW w:w="91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 2024 and 2023</w:t>
            </w:r>
          </w:p>
        </w:tc>
      </w:tr>
      <w:tr>
        <w:trPr/>
        <w:tc>
          <w:tcPr>
            <w:tcW w:w="2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 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43,276,606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 for 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Balance September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43,276,606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44,932 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36,327,995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86,884 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award retirement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(54,757)</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 for 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Balance September 30, 2023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36,343,632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(310,750)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83,133 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QUINCE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846"/>
        <w:gridCol w:w="590"/>
        <w:gridCol w:w="592"/>
        <w:gridCol w:w="109"/>
        <w:gridCol w:w="109"/>
        <w:gridCol w:w="109"/>
        <w:gridCol w:w="334"/>
        <w:gridCol w:w="336"/>
        <w:gridCol w:w="308"/>
        <w:gridCol w:w="109"/>
        <w:gridCol w:w="109"/>
        <w:gridCol w:w="109"/>
        <w:gridCol w:w="212"/>
        <w:gridCol w:w="359"/>
        <w:gridCol w:w="120"/>
        <w:gridCol w:w="109"/>
        <w:gridCol w:w="109"/>
        <w:gridCol w:w="109"/>
        <w:gridCol w:w="196"/>
        <w:gridCol w:w="736"/>
        <w:gridCol w:w="109"/>
        <w:gridCol w:w="109"/>
        <w:gridCol w:w="109"/>
        <w:gridCol w:w="109"/>
        <w:gridCol w:w="288"/>
        <w:gridCol w:w="819"/>
        <w:gridCol w:w="161"/>
        <w:gridCol w:w="109"/>
        <w:gridCol w:w="109"/>
        <w:gridCol w:w="109"/>
        <w:gridCol w:w="196"/>
        <w:gridCol w:w="761"/>
        <w:gridCol w:w="109"/>
        <w:gridCol w:w="109"/>
        <w:gridCol w:w="109"/>
        <w:gridCol w:w="109"/>
        <w:gridCol w:w="210"/>
        <w:gridCol w:w="790"/>
        <w:gridCol w:w="171"/>
      </w:tblGrid>
      <w:tr>
        <w:trPr/>
        <w:tc>
          <w:tcPr>
            <w:tcW w:w="8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 2024 and 2023</w:t>
            </w:r>
          </w:p>
        </w:tc>
      </w:tr>
      <w:tr>
        <w:trPr/>
        <w:tc>
          <w:tcPr>
            <w:tcW w:w="2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Additional</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Paid in</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Accumulated Other</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Comprehensive</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 xml:space="preserve">Income / (Loss)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Total Stockholders'</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 xml:space="preserve">Equity </w:t>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42,973,215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85,084 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on exercise of stock options and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 for 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Balance September 30,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43,276,606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44,932 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36,136,480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on exercise of stock options and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award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(63,293)</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 for 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Balance September 30, 2023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36,343,632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83,133 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QUINCE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9793" w:type="dxa"/>
        <w:jc w:val="left"/>
        <w:tblInd w:w="0" w:type="dxa"/>
        <w:tblLayout w:type="fixed"/>
        <w:tblCellMar>
          <w:top w:w="28" w:type="dxa"/>
          <w:left w:w="28" w:type="dxa"/>
          <w:bottom w:w="28" w:type="dxa"/>
          <w:right w:w="28" w:type="dxa"/>
        </w:tblCellMar>
      </w:tblPr>
      <w:tblGrid>
        <w:gridCol w:w="2300"/>
        <w:gridCol w:w="2014"/>
        <w:gridCol w:w="2030"/>
        <w:gridCol w:w="279"/>
        <w:gridCol w:w="1026"/>
        <w:gridCol w:w="155"/>
        <w:gridCol w:w="155"/>
        <w:gridCol w:w="155"/>
        <w:gridCol w:w="155"/>
        <w:gridCol w:w="279"/>
        <w:gridCol w:w="1026"/>
        <w:gridCol w:w="219"/>
      </w:tblGrid>
      <w:tr>
        <w:trPr/>
        <w:tc>
          <w:tcPr>
            <w:tcW w:w="230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4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 September 30,</w:t>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operating lease</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fixed assets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 in Lighthouse, Inc.</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the fair value of contingent consideration liabilities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long-term debt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goodwill and intangible asset impairment charge</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discount on available-for-sale investments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deferred tax liabilities due to acquisition of Novosteo, Inc.</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acquisitions:</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assets, operating leases and operating lease liabilities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(12,214)</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from investing activities:</w:t>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(95,116)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investments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disposal of assets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(11,148)</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4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consideration</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finance leases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upon exercise of stock options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non-cash information:</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liabilities</w:t>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 and financing lease liability reduction as a result of lease modification</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QUINCE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Quince Therapeutics, Inc. is a late-stage biotechnology company dedicated to unlocking the power of a patient’s own biology for the treatment of rare diseases.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proprietary AIDE technology platform is an innovative drug/device combination platform that uses an automated process to encapsulate a drug into a patient’s own red blood cells. Red blood cells have several characteristics that make them a potentially ideal vehicle for drug delivery and our AIDE technology is designed to harness many of these benefits to allow for new and improved therapeutic options for patients living with high unmet medical needs. The AIDE technology platform is believed to confer several benefits over conventional therapies which could be applied to a broad range of small or large molecule drugs and biologics. Our Phase 3 lead asset, EryDex, leverages the AIDE technology to encapsulate DSP into a patient’s own red blood cells, and is targeted to treat a rare pediatric neurodegenerative disease, A-T.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pioneering the encapsulation of drugs in a patient’s own red blood cells, we seek to advance proprietary therapeutics that hold the potential to redefine the standard of care and meaningfully improve the quality of life for patients with rare disease.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losses and negative cash flows from operations since inception and expects to continue to generate operating losses for the foreseeable future. As of September 30, 2024, the Company had an accumulated deficit of $364.0 million. Since inception through September 30, 2024, the Company has funded operations primarily with the net proceeds from the issuance of convertible promissory notes, from the issuance of redeemable convertible preferred stock, from the net proceeds from the Company’s initial public offering (the “IPO”) and from the net proceeds of the private investment in public equity transaction (“PIPE Financing”). As of September 30, 2024, the Company had cash, cash equivalents, and short-term investments of $47.8 million, which it believes will be sufficient to fund its planned operations into the first quarter of 2026, a period that is at least 12 months from the date of the issuance of the accompanying unaudited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EryDel on October 20, 2023 (the “EryDel Acquisition”), the Company assumed an unsecured line of credit between EryDel and the European Investment Bank (the “EIB Loan”). As of September 30, 2024, the principal of 10.0 million euros ($11.2 million) was outstanding on the EIB Loan. The Debt Agreement requires the Company to maintain a minimum cash balance of 14.65 million euros ($16.4 million) until the outstanding obligations under the Debt Agreement, together with accrued interest and all other amounts accrued or outstanding under the agreement, is repaid in full (the “Minimum Cash Covenant”) Furthermore, the Company may at any time voluntarily prepay, in whole or in part, together with certain fees as set forth in the Debt Agreement, the outstanding obligations under the Debt Agreement. In the event of a default or a change in control, as specified in the Debt Agreement, EIB may, subject to certain grace periods, accelerate the outstanding obligations under the EIB Loan.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 entered into an amendment (the “Amendment”) of the Debt Agreement with EIB which waives the Minimum Cash Covenant from January 1, 2025 and up to the earlier of December 31, 2025, or the date the Minimum Cash Covenant is restored. Under the terms of the Amendment, the Company agreed to amendments requiring monthly reporting of cash balances and additional limitations on certain permitted acquisitions. Additionally, during the waiver period, the Company agreed to convert 2% of the total 9% deferred interest on Tranches A and B to be payable quarterly, with the first payment due on March 31, 2025, and a one-time fee of 20,000 euros in connection with the Amendment.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expects to incur additional losses in the future to fund the Company's operations and conduct product research and development and may need to raise additional capital to fully implement its business plan. The Company may raise additional capital through the issuance of equity securities, debt financings or other sources including out-licensing or partnerships, in order to further implement its business plan. However, if such financing is not available when needed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adequate levels, the Company will need to reevaluate its operating plan and may be required to delay the development of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Consolidation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Quince Therapeutics, Inc. and its wholly owned subsidiaries. All intercompany balances and transactions have been eliminated upon consolidation.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jc w:val="left"/>
        <w:rPr/>
      </w:pPr>
      <w:r>
        <w:rPr>
          <w:rFonts w:ascii="Times New Roman;sans-serif" w:hAnsi="Times New Roman;sans-serif"/>
          <w:b w:val="false"/>
          <w:color w:val="000000"/>
          <w:sz w:val="20"/>
        </w:rPr>
        <w:t>The accompanying unaudited condensed consolidated financial statements have been prepared in accordance with GAAP for interim financial information and pursuant to the instructions of the SEC on</w:t>
      </w:r>
      <w:r>
        <w:rPr>
          <w:color w:val="000000"/>
        </w:rPr>
        <w:t xml:space="preserve"> </w:t>
      </w:r>
      <w:r>
        <w:rPr>
          <w:rFonts w:ascii="Times New Roman;sans-serif" w:hAnsi="Times New Roman;sans-serif"/>
          <w:b w:val="false"/>
          <w:color w:val="000000"/>
          <w:sz w:val="20"/>
        </w:rPr>
        <w:t>Form 10-Q and Article 8 of Regulation S-X of the SEC. Accordingly, they do not include all of the information and footnotes required by GAAP for complete financial statements. In the management’s opinion, all adjustments (consisting only of normal recurring adjustments) considered necessary for a fair presentation of the results of operations and cash flows for the periods presented have been included.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September 30, 2024, the condensed consolidated statements of operations and comprehensive loss for the three and nine months ended September 30, 2024 and 2023, the condensed consolidated statements of stockholders’ equity for the three and nine months ended September 30, 2024 and 2023, the condensed consolidated statements of cash flows for the nine months ended September 30, 2024 and 2023, and the financial data and other financial information disclosed in the notes to the condensed consolidated financial statements are unaudited. These financial statements should be read in conjunction with the audited financial statements and notes thereto for the year ended December 31, 2023 included in the Company’s Form 10-K filed with the SEC on April 1, 2024. The results of operations for the nine months ended September 30, 2024 are not necessarily indicative of the results to be expected for the year ending December 31, 2024 or for any other future annual or interim period.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future results of operations involve a number of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the Company’s drug candidates, competition from substitute products and larger companies, securing and protecting proprietary technology, strategic relationships and dependence on key individuals and sole source suppliers. The Company’s drug candidates will require approvals from the FDA and comparable foreign regulatory agencies prior to commercial sales in their respective jurisdictions. There can be no assurance that any drug candidate will receive the necessary approvals.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Company’s consolidated financial statements in conformity with GAAP requires management to make estimates and assumptions that affect the reported amounts of assets, liabilities, and expenses, as well as related disclosure of contingent assets and liabilities. The most significant estimates used in the Company’s consolidated financial statements relate to the determination of the fair value of stock-based awards and other issuances, determination of the fair value of identifiable assets and liabilities in connection with business combinations including associated intangible assets and goodwill, contingent consideration, accruals for research and development costs, useful lives of long-lived assets, stock-based compensation and related assumptions, the incremental borrowing rate for leases and income tax uncertainties, including a valuation allowance for deferred tax assets, eligibility of expenses for the Australia research and development refundable tax credits, impairment of intangible assets, including goodwill; and contingencies. The Company bases its estimates on historical experience and on various other market specific and other relevant assumptions that it believes to be reasonable under the circumstances, the results of which form the basis for making judgments about the carrying values of assets and liabilities that are not readily apparent from other sources. Actual results could differ materially from the Company’s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 and Transactions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wholly-owned subsidiaries are the Euro and Australian Dollar. The Company's financial results and financial position are translated into U.S. dollars using exchange rates at balance sheet dates for assets and liabilities and using average exchange rates for income and expenses. The resulting translation differences are presented as a separate component of accumulated other comprehensive loss, as a separate component of equity.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transactions are translated into the functional currencies using the exchange rates prevailing at the dates of the transactions. Foreign exchange gains and losses, resulting from the settlement of such transactions and from the re-measurement of monetary assets and liabilities denominated in foreign currencies using exchange rates at balance sheet date and non-monetary assets and liabilities using historical exchange rates, are recognized in the condensed consolidated statements of operations and comprehensive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accounting policies during the nine months ended September 30, 2024, as compared to the significant accounting policies described in our Annual Report on Form 10-K for the year ended December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manages its business as one reportable and operating segment, which is the business of developing and commercializing therapeutics. The Company’s chief executive officer, who is the chief operating decision maker, reviews financial information on an aggregate basis for purposes of allocating and evaluating financial performance. All long-lived assets are maintained in Italy.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business combinations using the acquisition method pursuant to the FASB ASC Topic 805. This method requires, among other things, that results of operations of acquired companies are included in the Company's financial results beginning on the respective acquisition dates, and that identifiable assets acquired and liabilities assumed are recognized at fair value as of the acquisition date. Intangible assets acquired in a business combination are recorded at fair value using one of three valuation approaches, the income approach, the market approach or the cost approach. The Company reviewed the three valuation approaches and determined the income approach was the most appropriate model to approximate fair value for the EryDel Acquisition. The income approach model requires assumptions about the timing and amount of future net cash flows, the cost of capital and terminal values from the perspective of a market participant. Any excess of the fair value of consideration transferred (the “Purchase Price”) over the fair values of the net assets acquired is recognized as goodwill. The fair value of identifiable assets acquired and liabilities assumed in certain cases may be subject to revision based on the final determination of fair value during a period of time not to exceed 12 months from the acquisition date. Legal costs, due diligence costs, business valuation costs and all other acquisition-related costs are expensed when incurred.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Definite lived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a definite useful life are amortized on a straight-line basis over the estimated useful life of the related assets. The Company regularly reviews whether current conditions or events suggest that the carrying values of its acquired definite lived intangible assets might not be recoverable. When such conditions are identified, an estimate of the undiscounted future cash flows from these assets, or relevant asset groupings, is compared to their carrying value to determine if an impairment exists. If an impairment is identified, the loss is calculated as the difference between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the intangible asset and its fair value, which is based on the net present value of the estimated future cash flows.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Indefinite lived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an indefinite useful life are not amortized. Intangible assets acquired in a business combination or an acquisition that are used in research and development activities (regardless of whether they have an alternative future use) shall be considered indefinite lived until the completion or abandonment of the associated research and development efforts. Intangible assets acquired in a business combination are initially recorded at fair value. During the period that those assets are considered indefinite lived, they shall not be amortized but shall be tested for impairment. Once the research and development efforts are completed or abandoned, the entity shall determine the useful life of the assets. An indefinite lived intangible asset shall be tested for impairment annually and more frequently if events or changes in circumstances indicate that it is more likely than not that the asset is impaired. The Company first assesses qualitative factors to determine whether it is more likely than not that the fair value of the intangible asset is less than its carrying amount. If that is the case, the Company performs a quantitative impairment test, and, if the carrying amount of the Company exceeds its fair value, then the Company will recognize an impairment charge for the amount by which its carrying amount exceeds its fair value, not to exceed the carrying amount of the intangible asset. Qualitative factors to be considered include but are not limited to:</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Cost factors such as increases in raw materials, labor, or other costs that have a negative effect on future expected earnings and cash flows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Legal/regulatory factors or progress and results of clinical trials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Other relevant entity-specific events such as changes in management, key personnel, strategy, or customers; contemplation of bankruptcy; or litigation that could affect significant inputs used to determine the fair value of the indefinite-lived intangible asset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Industry and market considerations such as a deterioration in the environment in which an entity operates, an increased competitive environment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Macroeconomic conditions such as deterioration in general economic conditions, limitations on accessing capital, fluctuations in foreign exchange rates, or other developments in equity and credit markets that could affect significant inputs used to determine the fair value of the indefinite-lived intangible asset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the net assets acquired as of the acquisition date. Goodwill has an indefinite useful life and is not amortized. The Company reviews its goodwill for impairment at least annually or whenever events or changes in circumstances indicate that the carrying amount of the Company may exceed its fair value. The Company first assesses qualitative factors to determine whether it is more likely than not that the fair value of the Company is less than its carrying amount, including goodwill. If that is the case, the Company performs a quantitative impairment test, and, if the carrying amount of the Company exceeds its fair value, then the Company will recognize an impairment charge for the amount by which its carrying amount exceeds its fair value, not to exceed the carrying amount of the goodwill.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recognized a non-cash goodwill impairment charge of $17.1 million as the quantitative analysis resulted in the Company's fair value being significantly below its carrying value during the three months ended June 30,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Contingent Consideration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the acquisition date fair value of contingent consideration using a discounted cash flow method, with significant inputs that are not observable in the market and thus represents a Level 3 fair value measurement as defined in ASC Topic 820, Fair Value Measurement. The significant inputs in the Level 3 measurement not supported by market activity included our probability assessments of expected future cash flows related to the Company's acquisition of EryDel in October 2023, during the contingent consideration period, appropriately discounted considering the uncertainties associated with the earnout obligation, and calculated in accordance with the terms of the definitive agreement. The liabilities for the contingent consideration are established at the time of the acquisition and will be evaluated on a quarterly basis based on additional information as it becomes available. Any change in the fair value adjustment is recorded in the earnings of that period. During the three months ended September 30, 2024, the Company recorded a $2.7 million adjustment to decrease the fair value of its contingent consideration related to the acquisition of EryDel. During the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months ended September 30, 2024, the Company recorded a net $2.1 million adjustment to increase the fair value of its contingent consideration related to the acquisition of EryDel. The adjustment is reflected within operating loss on the consolidated statement of operations and comprehensive loss. Changes in the fair value of the contingent consideration obligations may result from changes in probability assumptions with respect to the likelihood of achieving the various contingent payment obligations. Significant increases or decreases in the inputs noted above in isolation would result in a significantly lower or higher fair value measurement.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Investments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original maturities of three months or less when purchased to be cash equivalents. Cash equivalents include marketable securities. Management determines the appropriate classification of its investments in debt securities at the time of purchase and at the end of each reporting period. Investments with original maturities beyond three months at the date of purchase and which mature at, or less than twelve months from the balance sheet date are classified as short-term investments. Investments with a maturity beyond twelve months from the balance sheet date are classified as long-term investments. Collectively, cash equivalents, short-term investments and long-term investments are considered available-for-sale and are recorded at fair value. Unrealized gains and losses are recorded as a component of other comprehensive loss in the consolidated statements of operations and included as a separate component of consolidated statements of stockholders’ equity (deficit). Realized gains and losses are included in interest income in the consolidated statements of operations and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(discounts) are amortized (accreted) over the life of the related investment as an adjustment to yield using the straight-line interest method. Dividend and interest income are recognized when earned. These amounts are recorded in “interest income” in the consolidated statements of operations and comprehensive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new accounting pronouncements that the Company is evaluating for future impacts on its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 to Income Tax Disclosures (ASC 740): In December 2023, the FASB issued ASU No. 2023-09, "Improvements to Income Tax Disclosures." This ASU establishes new income tax disclosure requirements in addition to modifying and eliminating certain existing requirements. Under this ASU, entities must consistently categorize and provide greater disaggregation of information in the rate reconciliation. They must also further disaggregate income taxes paid. The ASU is effective beginning after December 2024 under a prospective approach. Early adoption is permitted. The Company is evaluating the disclosure requirements related to the new standard.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 Update 2023-07, Segment Reporting (Topic 280): Improvements to Reportable Segment Disclosures (“ASU 2023-07”): In November 2023, the FASB issued ASU 2023-07, which is intended to improve reportable segment disclosure requirements, primarily through additional disclosures about significant segment expenses, including for single reportable segment entities. The standard is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is evaluating the disclosure requirements related to the new standard.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newly issued accounting pronouncements not yet effective have been deemed either immaterial or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financial instruments reflects the amounts that the Company estimates that it would receive in connection with the sale of an asset or pay in connection with the transfer of a liability in an orderly transaction between market participants at the measurement date (exit price). The Company discloses and recognizes the fair value of the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 Inputs that reflect unadjusted quoted prices in active markets for identical assets or liabilities that the Company has the ability to access at the measurement 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prices that are observable for the assets or liability either directly or indirectly, including inputs in markets that are not considered to be active.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 Inputs that are unobservable. Assets and liabilities measured at fair value are classified in their entirety based on the lowest level of input that is significant to the fair value measurement.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are carried in the accompanying condensed consolidated balance sheets at amounts that approximate fair value.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assessment of the significance of a particular input to the fair value measurement in its entirety requires management to make judgments and consider factors specific to the asset or liability. The Company recognizes transfers between levels of the fair value hierarchy as of the end of the reporting period. There were no transfers within the hierarchy during the three and nine months ended September 30, 2024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the fair value option for the EIB Loan assumed as part of the EryDel Acquisition. The Company adjusted the EIB Loan to fair value through the change in fair value of debt in the accompanying consolidated statements of operations and comprehensive loss. Subsequent unrealized gains and losses on items for which the fair value option is elected are reported in earnings. The Company will breakout any change in value due to credit loss in accumulated other comprehensive loss. For the three and nine months ended September 30, 2024, there was no change in value due to credit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subject to fair value measurements on a recurring basis and the level of inputs used in such measurements by major security type as of September 30, 2024 and December 31, 2023 are presented in the following tables (in thousands):</w:t>
      </w:r>
    </w:p>
    <w:tbl>
      <w:tblPr>
        <w:tblW w:w="7515" w:type="dxa"/>
        <w:jc w:val="left"/>
        <w:tblInd w:w="0" w:type="dxa"/>
        <w:tblLayout w:type="fixed"/>
        <w:tblCellMar>
          <w:top w:w="28" w:type="dxa"/>
          <w:left w:w="28" w:type="dxa"/>
          <w:bottom w:w="28" w:type="dxa"/>
          <w:right w:w="28" w:type="dxa"/>
        </w:tblCellMar>
      </w:tblPr>
      <w:tblGrid>
        <w:gridCol w:w="932"/>
        <w:gridCol w:w="818"/>
        <w:gridCol w:w="830"/>
        <w:gridCol w:w="211"/>
        <w:gridCol w:w="721"/>
        <w:gridCol w:w="109"/>
        <w:gridCol w:w="109"/>
        <w:gridCol w:w="109"/>
        <w:gridCol w:w="109"/>
        <w:gridCol w:w="211"/>
        <w:gridCol w:w="466"/>
        <w:gridCol w:w="109"/>
        <w:gridCol w:w="109"/>
        <w:gridCol w:w="109"/>
        <w:gridCol w:w="109"/>
        <w:gridCol w:w="211"/>
        <w:gridCol w:w="721"/>
        <w:gridCol w:w="109"/>
        <w:gridCol w:w="109"/>
        <w:gridCol w:w="109"/>
        <w:gridCol w:w="109"/>
        <w:gridCol w:w="211"/>
        <w:gridCol w:w="721"/>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935"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September 30, 2024</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and agency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64" w:type="dxa"/>
        <w:jc w:val="left"/>
        <w:tblInd w:w="0" w:type="dxa"/>
        <w:tblLayout w:type="fixed"/>
        <w:tblCellMar>
          <w:top w:w="28" w:type="dxa"/>
          <w:left w:w="28" w:type="dxa"/>
          <w:bottom w:w="28" w:type="dxa"/>
          <w:right w:w="28" w:type="dxa"/>
        </w:tblCellMar>
      </w:tblPr>
      <w:tblGrid>
        <w:gridCol w:w="932"/>
        <w:gridCol w:w="818"/>
        <w:gridCol w:w="82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085"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Measurements as of December 31, 2023 </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and agency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certificates of deposit and government and agency notes as Level 2 investments as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Level 3 Assets and Liabilities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changes in present value of acquisition related accrued earnouts of contingent consideration liability using significant unobservable inputs (Level 3) for the nine months ended September 30, 2024:</w:t>
      </w:r>
    </w:p>
    <w:tbl>
      <w:tblPr>
        <w:tblW w:w="6344" w:type="dxa"/>
        <w:jc w:val="left"/>
        <w:tblInd w:w="0" w:type="dxa"/>
        <w:tblLayout w:type="fixed"/>
        <w:tblCellMar>
          <w:top w:w="28" w:type="dxa"/>
          <w:left w:w="28" w:type="dxa"/>
          <w:bottom w:w="28" w:type="dxa"/>
          <w:right w:w="28" w:type="dxa"/>
        </w:tblCellMar>
      </w:tblPr>
      <w:tblGrid>
        <w:gridCol w:w="1875"/>
        <w:gridCol w:w="1644"/>
        <w:gridCol w:w="1655"/>
        <w:gridCol w:w="227"/>
        <w:gridCol w:w="777"/>
        <w:gridCol w:w="166"/>
      </w:tblGrid>
      <w:tr>
        <w:trPr/>
        <w:tc>
          <w:tcPr>
            <w:tcW w:w="1875"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as of January 1, 2024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Payout of contingent earnout based on milestone achievement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Ending Balance as of September 30, 2024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 Company enrolled the first patient in the Phase 3 NEAT clinical trial. In accordance with the purchase agreement entered into in connection with EryDel Acquisition, the Company notified the former EryDel shareholders of this achievement within 45 days of achieving this milestone. During the three months ended September 30, 2024, the Company paid the cash milestone payment of $5 million to the former EryDel shareholders.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fair value of the contingent consideration is primarily driven by the cash milestone payment of $5 million to the former EryDel shareholders, and the passage of time. The Company owes no further payments to EryDel shareholders for development-related milestones. The remaining potential contingent payments in connection with the EryDel Acquisition pertain to regulatory on market and sales milestones.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quantitative information including the unobservable inputs related to the Company's acquisition related accrued earnout as of September 30, 2024 (in thousands except for percentages):</w:t>
      </w:r>
    </w:p>
    <w:tbl>
      <w:tblPr>
        <w:tblW w:w="10205" w:type="dxa"/>
        <w:jc w:val="left"/>
        <w:tblInd w:w="0" w:type="dxa"/>
        <w:tblLayout w:type="fixed"/>
        <w:tblCellMar>
          <w:top w:w="28" w:type="dxa"/>
          <w:left w:w="28" w:type="dxa"/>
          <w:bottom w:w="28" w:type="dxa"/>
          <w:right w:w="28" w:type="dxa"/>
        </w:tblCellMar>
      </w:tblPr>
      <w:tblGrid>
        <w:gridCol w:w="777"/>
        <w:gridCol w:w="683"/>
        <w:gridCol w:w="685"/>
        <w:gridCol w:w="306"/>
        <w:gridCol w:w="1048"/>
        <w:gridCol w:w="157"/>
        <w:gridCol w:w="109"/>
        <w:gridCol w:w="109"/>
        <w:gridCol w:w="109"/>
        <w:gridCol w:w="642"/>
        <w:gridCol w:w="640"/>
        <w:gridCol w:w="642"/>
        <w:gridCol w:w="109"/>
        <w:gridCol w:w="109"/>
        <w:gridCol w:w="109"/>
        <w:gridCol w:w="711"/>
        <w:gridCol w:w="711"/>
        <w:gridCol w:w="714"/>
        <w:gridCol w:w="109"/>
        <w:gridCol w:w="109"/>
        <w:gridCol w:w="109"/>
        <w:gridCol w:w="439"/>
        <w:gridCol w:w="439"/>
        <w:gridCol w:w="630"/>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Range (Input Used)</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Expected present value</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Probability of achieving </w:t>
              <w:br/>
              <w:t>earnout objectives per the</w:t>
              <w:br/>
              <w:t> purchase agreement</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- 100%</w:t>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fair value of the Level 3 EIB Loan for the nine months ended September 30, 2024:</w:t>
      </w:r>
    </w:p>
    <w:tbl>
      <w:tblPr>
        <w:tblW w:w="4785" w:type="dxa"/>
        <w:jc w:val="left"/>
        <w:tblInd w:w="0" w:type="dxa"/>
        <w:tblLayout w:type="fixed"/>
        <w:tblCellMar>
          <w:top w:w="28" w:type="dxa"/>
          <w:left w:w="28" w:type="dxa"/>
          <w:bottom w:w="28" w:type="dxa"/>
          <w:right w:w="28" w:type="dxa"/>
        </w:tblCellMar>
      </w:tblPr>
      <w:tblGrid>
        <w:gridCol w:w="1288"/>
        <w:gridCol w:w="1130"/>
        <w:gridCol w:w="1137"/>
        <w:gridCol w:w="239"/>
        <w:gridCol w:w="817"/>
        <w:gridCol w:w="174"/>
      </w:tblGrid>
      <w:tr>
        <w:trPr/>
        <w:tc>
          <w:tcPr>
            <w:tcW w:w="1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(in thousands)</w:t>
            </w:r>
            <w:r>
              <w:rPr>
                <w:color w:val="000000"/>
                <w:shd w:fill="FFFFFF" w:val="clear"/>
              </w:rPr>
              <w:t xml:space="preserve"> </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as of January 1, 2024</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foreign currency translation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Ending Balance as of September 30, 2024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quantitative information including the unobservable inputs related to the Company's acquisition related long term debt as of September 30, 2024 (in thousands except for percentages):</w:t>
      </w:r>
    </w:p>
    <w:tbl>
      <w:tblPr>
        <w:tblW w:w="10188" w:type="dxa"/>
        <w:jc w:val="left"/>
        <w:tblInd w:w="0" w:type="dxa"/>
        <w:tblLayout w:type="fixed"/>
        <w:tblCellMar>
          <w:top w:w="28" w:type="dxa"/>
          <w:left w:w="28" w:type="dxa"/>
          <w:bottom w:w="28" w:type="dxa"/>
          <w:right w:w="28" w:type="dxa"/>
        </w:tblCellMar>
      </w:tblPr>
      <w:tblGrid>
        <w:gridCol w:w="304"/>
        <w:gridCol w:w="267"/>
        <w:gridCol w:w="269"/>
        <w:gridCol w:w="313"/>
        <w:gridCol w:w="1070"/>
        <w:gridCol w:w="161"/>
        <w:gridCol w:w="109"/>
        <w:gridCol w:w="109"/>
        <w:gridCol w:w="109"/>
        <w:gridCol w:w="664"/>
        <w:gridCol w:w="664"/>
        <w:gridCol w:w="666"/>
        <w:gridCol w:w="109"/>
        <w:gridCol w:w="109"/>
        <w:gridCol w:w="109"/>
        <w:gridCol w:w="1088"/>
        <w:gridCol w:w="1088"/>
        <w:gridCol w:w="1093"/>
        <w:gridCol w:w="109"/>
        <w:gridCol w:w="109"/>
        <w:gridCol w:w="109"/>
        <w:gridCol w:w="456"/>
        <w:gridCol w:w="456"/>
        <w:gridCol w:w="64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Range (Input Used)</w:t>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EIB loan</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Expected present value</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Credit quality of company</w:t>
              <w:br/>
              <w:t> and credit spreads for comparable debt</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Cash, Cash Equivalents and Investments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categorize the fair values of cash, cash equivalents and investments measured at fair value on a recurring basis on our balance sheets (in thousands):</w:t>
      </w:r>
    </w:p>
    <w:tbl>
      <w:tblPr>
        <w:tblW w:w="6116" w:type="dxa"/>
        <w:jc w:val="left"/>
        <w:tblInd w:w="0" w:type="dxa"/>
        <w:tblLayout w:type="fixed"/>
        <w:tblCellMar>
          <w:top w:w="28" w:type="dxa"/>
          <w:left w:w="28" w:type="dxa"/>
          <w:bottom w:w="28" w:type="dxa"/>
          <w:right w:w="28" w:type="dxa"/>
        </w:tblCellMar>
      </w:tblPr>
      <w:tblGrid>
        <w:gridCol w:w="977"/>
        <w:gridCol w:w="859"/>
        <w:gridCol w:w="864"/>
        <w:gridCol w:w="313"/>
        <w:gridCol w:w="1070"/>
        <w:gridCol w:w="161"/>
        <w:gridCol w:w="109"/>
        <w:gridCol w:w="109"/>
        <w:gridCol w:w="109"/>
        <w:gridCol w:w="300"/>
        <w:gridCol w:w="1026"/>
        <w:gridCol w:w="21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and agency notes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and agency notes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are classified as available-for-sale securities. As of September 30, 2024, the weighted average remaining contractual maturities of available-for-sale securities was approximately 6 months. The unrealized gain (loss) activity related to the Company’s available-for-sale securities is included in the Company’s accumulated other comprehensive income. There were no significant realized gains or losses recognized on the sale or maturity of available-for-sale securities for the three and nine months ended September 30, 2024 and 2023, and as a result, the Company did not reclassify any amounts out of accumulated other comprehensive income. Based on the Company’s review of its available-for-sale securities, the Company has no available-for-sale securities in loss positions as of September 30, 2024. No other-than-temporary impairments on these securities were recognized for the three and nine months ended September 30, 2024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assess its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There have been no impairment and credit losses related to available-for-sale securities for the three and nine months ended September 30, 2024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interest and other income, net in the statement of operations and comprehensive loss. If neither criteria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interest and other income,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unrealized losses from declines in fair value below the amortized cost basis as a result of non-credit factors are recognized in accumulated other comprehensive income, net of tax as a separate component of stockholders’ equity, along with unrealized gains. Realized gains and losses and declines in fair value, if any, on available-for-sale securities are included in interest and other income, net in the condensed statement of operations and comprehensive loss.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in other current assets on the condensed balance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available-for-sale securities (in thousands):</w:t>
      </w:r>
    </w:p>
    <w:tbl>
      <w:tblPr>
        <w:tblW w:w="9305" w:type="dxa"/>
        <w:jc w:val="left"/>
        <w:tblInd w:w="0" w:type="dxa"/>
        <w:tblLayout w:type="fixed"/>
        <w:tblCellMar>
          <w:top w:w="28" w:type="dxa"/>
          <w:left w:w="28" w:type="dxa"/>
          <w:bottom w:w="28" w:type="dxa"/>
          <w:right w:w="28" w:type="dxa"/>
        </w:tblCellMar>
      </w:tblPr>
      <w:tblGrid>
        <w:gridCol w:w="1598"/>
        <w:gridCol w:w="1410"/>
        <w:gridCol w:w="1417"/>
        <w:gridCol w:w="211"/>
        <w:gridCol w:w="721"/>
        <w:gridCol w:w="109"/>
        <w:gridCol w:w="109"/>
        <w:gridCol w:w="109"/>
        <w:gridCol w:w="109"/>
        <w:gridCol w:w="237"/>
        <w:gridCol w:w="525"/>
        <w:gridCol w:w="124"/>
        <w:gridCol w:w="109"/>
        <w:gridCol w:w="109"/>
        <w:gridCol w:w="109"/>
        <w:gridCol w:w="257"/>
        <w:gridCol w:w="495"/>
        <w:gridCol w:w="134"/>
        <w:gridCol w:w="109"/>
        <w:gridCol w:w="109"/>
        <w:gridCol w:w="109"/>
        <w:gridCol w:w="211"/>
        <w:gridCol w:w="721"/>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880"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September 30, 2024</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 xml:space="preserve">Losses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and agency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(original maturities within 90 days)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 (maturities within one year)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05" w:type="dxa"/>
        <w:jc w:val="left"/>
        <w:tblInd w:w="0" w:type="dxa"/>
        <w:tblLayout w:type="fixed"/>
        <w:tblCellMar>
          <w:top w:w="28" w:type="dxa"/>
          <w:left w:w="28" w:type="dxa"/>
          <w:bottom w:w="28" w:type="dxa"/>
          <w:right w:w="28" w:type="dxa"/>
        </w:tblCellMar>
      </w:tblPr>
      <w:tblGrid>
        <w:gridCol w:w="1598"/>
        <w:gridCol w:w="1410"/>
        <w:gridCol w:w="1417"/>
        <w:gridCol w:w="211"/>
        <w:gridCol w:w="721"/>
        <w:gridCol w:w="109"/>
        <w:gridCol w:w="109"/>
        <w:gridCol w:w="109"/>
        <w:gridCol w:w="109"/>
        <w:gridCol w:w="257"/>
        <w:gridCol w:w="495"/>
        <w:gridCol w:w="134"/>
        <w:gridCol w:w="109"/>
        <w:gridCol w:w="109"/>
        <w:gridCol w:w="109"/>
        <w:gridCol w:w="257"/>
        <w:gridCol w:w="495"/>
        <w:gridCol w:w="134"/>
        <w:gridCol w:w="109"/>
        <w:gridCol w:w="109"/>
        <w:gridCol w:w="109"/>
        <w:gridCol w:w="211"/>
        <w:gridCol w:w="721"/>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880"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Measurements as of December 31, 2023 </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Amortized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Unrealized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Unrealized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 xml:space="preserve">Losses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and agency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(original maturities within 90 days)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 (maturities within one year)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Balance Sheet Components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w:t>
      </w:r>
    </w:p>
    <w:tbl>
      <w:tblPr>
        <w:tblW w:w="8845" w:type="dxa"/>
        <w:jc w:val="left"/>
        <w:tblInd w:w="0" w:type="dxa"/>
        <w:tblLayout w:type="fixed"/>
        <w:tblCellMar>
          <w:top w:w="28" w:type="dxa"/>
          <w:left w:w="28" w:type="dxa"/>
          <w:bottom w:w="28" w:type="dxa"/>
          <w:right w:w="28" w:type="dxa"/>
        </w:tblCellMar>
      </w:tblPr>
      <w:tblGrid>
        <w:gridCol w:w="1968"/>
        <w:gridCol w:w="1726"/>
        <w:gridCol w:w="1735"/>
        <w:gridCol w:w="348"/>
        <w:gridCol w:w="1017"/>
        <w:gridCol w:w="180"/>
        <w:gridCol w:w="109"/>
        <w:gridCol w:w="109"/>
        <w:gridCol w:w="109"/>
        <w:gridCol w:w="332"/>
        <w:gridCol w:w="970"/>
        <w:gridCol w:w="242"/>
      </w:tblGrid>
      <w:tr>
        <w:trPr/>
        <w:tc>
          <w:tcPr>
            <w:tcW w:w="1968"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 expenses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Italian research and development refundable tax credit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eligible to obtain an R&amp;D tax credit as companies in Italy that invest in eligible research and development activities, regardless of the legal form and economic sector in which they operate, can benefit from a R&amp;D tax credit. Such tax credits can only be used to offset payments of certain taxes and contributions (e.g., social contributions, VAT payables, registration fees, income and withholding taxes and other tax-related items that companies usually pay monthly). The Company recognized reductions to R&amp;D expense of $0.4 million and $1.2 million for the three and nine months ended September 30, 2024 respectively, and $0 reductions for the three and nine months ended September 30,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Novosteo Pty, Ltd, a wholly-owned subsidiary of Novosteo, LLC, is eligible to obtain a cash refund from the Australian Taxation Office for eligible R&amp;D expenditures under the Australian Tax Incentive. During the three and nine months ended September 30, 2024, the Company received $0 refundable tax credit. During the first quarter of 2023, the Company received a refundable tax credit of $0.5 million, which reduced prepaid expenses and other current assets by $0.5 million as of March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tbl>
      <w:tblPr>
        <w:tblW w:w="8846" w:type="dxa"/>
        <w:jc w:val="left"/>
        <w:tblInd w:w="0" w:type="dxa"/>
        <w:tblLayout w:type="fixed"/>
        <w:tblCellMar>
          <w:top w:w="28" w:type="dxa"/>
          <w:left w:w="28" w:type="dxa"/>
          <w:bottom w:w="28" w:type="dxa"/>
          <w:right w:w="28" w:type="dxa"/>
        </w:tblCellMar>
      </w:tblPr>
      <w:tblGrid>
        <w:gridCol w:w="1969"/>
        <w:gridCol w:w="1726"/>
        <w:gridCol w:w="1735"/>
        <w:gridCol w:w="348"/>
        <w:gridCol w:w="1017"/>
        <w:gridCol w:w="180"/>
        <w:gridCol w:w="109"/>
        <w:gridCol w:w="109"/>
        <w:gridCol w:w="109"/>
        <w:gridCol w:w="332"/>
        <w:gridCol w:w="970"/>
        <w:gridCol w:w="242"/>
      </w:tblGrid>
      <w:tr>
        <w:trPr/>
        <w:tc>
          <w:tcPr>
            <w:tcW w:w="196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Italian research and development refundable tax credit</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receivable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investments in Lighthouse Pharmaceuticals, Inc. </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(in thousands):</w:t>
      </w:r>
    </w:p>
    <w:tbl>
      <w:tblPr>
        <w:tblW w:w="7525" w:type="dxa"/>
        <w:jc w:val="left"/>
        <w:tblInd w:w="0" w:type="dxa"/>
        <w:tblLayout w:type="fixed"/>
        <w:tblCellMar>
          <w:top w:w="28" w:type="dxa"/>
          <w:left w:w="28" w:type="dxa"/>
          <w:bottom w:w="28" w:type="dxa"/>
          <w:right w:w="28" w:type="dxa"/>
        </w:tblCellMar>
      </w:tblPr>
      <w:tblGrid>
        <w:gridCol w:w="1489"/>
        <w:gridCol w:w="1305"/>
        <w:gridCol w:w="1315"/>
        <w:gridCol w:w="413"/>
        <w:gridCol w:w="915"/>
        <w:gridCol w:w="216"/>
        <w:gridCol w:w="109"/>
        <w:gridCol w:w="109"/>
        <w:gridCol w:w="109"/>
        <w:gridCol w:w="392"/>
        <w:gridCol w:w="866"/>
        <w:gridCol w:w="287"/>
      </w:tblGrid>
      <w:tr>
        <w:trPr/>
        <w:tc>
          <w:tcPr>
            <w:tcW w:w="148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 and depreciation</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tbl>
      <w:tblPr>
        <w:tblW w:w="7676" w:type="dxa"/>
        <w:jc w:val="left"/>
        <w:tblInd w:w="0" w:type="dxa"/>
        <w:tblLayout w:type="fixed"/>
        <w:tblCellMar>
          <w:top w:w="28" w:type="dxa"/>
          <w:left w:w="28" w:type="dxa"/>
          <w:bottom w:w="28" w:type="dxa"/>
          <w:right w:w="28" w:type="dxa"/>
        </w:tblCellMar>
      </w:tblPr>
      <w:tblGrid>
        <w:gridCol w:w="1545"/>
        <w:gridCol w:w="1353"/>
        <w:gridCol w:w="1362"/>
        <w:gridCol w:w="348"/>
        <w:gridCol w:w="1017"/>
        <w:gridCol w:w="180"/>
        <w:gridCol w:w="109"/>
        <w:gridCol w:w="109"/>
        <w:gridCol w:w="109"/>
        <w:gridCol w:w="332"/>
        <w:gridCol w:w="970"/>
        <w:gridCol w:w="242"/>
      </w:tblGrid>
      <w:tr>
        <w:trPr/>
        <w:tc>
          <w:tcPr>
            <w:tcW w:w="15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the severance accrual activity were as follows (in thousands):</w:t>
      </w:r>
    </w:p>
    <w:tbl>
      <w:tblPr>
        <w:tblW w:w="4749" w:type="dxa"/>
        <w:jc w:val="left"/>
        <w:tblInd w:w="0" w:type="dxa"/>
        <w:tblLayout w:type="fixed"/>
        <w:tblCellMar>
          <w:top w:w="28" w:type="dxa"/>
          <w:left w:w="28" w:type="dxa"/>
          <w:bottom w:w="28" w:type="dxa"/>
          <w:right w:w="28" w:type="dxa"/>
        </w:tblCellMar>
      </w:tblPr>
      <w:tblGrid>
        <w:gridCol w:w="1016"/>
        <w:gridCol w:w="892"/>
        <w:gridCol w:w="897"/>
        <w:gridCol w:w="211"/>
        <w:gridCol w:w="466"/>
        <w:gridCol w:w="109"/>
        <w:gridCol w:w="109"/>
        <w:gridCol w:w="109"/>
        <w:gridCol w:w="109"/>
        <w:gridCol w:w="211"/>
        <w:gridCol w:w="46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accrued severance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during the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paid during the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accrued severance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30, 2023, in response to the reprioritization of the Company's pipeline following the decision to discontinue internal development of NOV004 and to pursue out-licensing opportunities, the Company's Board of Directors approved a cost reduction program to reorganize operations and allow continued support for the needs of the business. Under the cost reduction program, the Company lowered headcount through a reduction in workforce. The Company recognized the severance of $0.3 million and related expenses of $0.1 million over the requisite employment obligation period. The reduction in force was completed in April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entered into a transition and separation agreement with Karen Smith, M.D., Ph.D., (the “Separation Agreement”) in connection with Dr. Smith’s transition and departure from the Company as the Company's Chief Medical Officer, effective as of September 1, 2023. Pursuant to the Separation Agreement, the Company is required to pay cash severance, equal to her annual salary, in the aggregate amount of $0.5 million, of which $0.3 million was paid during the nine months ended September 30, 2024. The severance is to be paid on regular payroll schedule through the third quarter of 2024. Additionally, pursuant to the Separation Agreement, the Company paid an additional cash bonus severance payment equal to 100% of Dr. Smith’s target annual bonus opportunity for 2023 on a prorated basis, an additional cash severance payment equal to 12 months’ of the monthly premiums for health care continuation benefits, and provided for 50% accelerated vesting with respect to Dr. Smith’s equity award. The acceleration of 612,141 options and 54,757 RSAs resulted in a stock-based compensation expense of approximately $0.1 million that was recorded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as part of the EryDel Acquisition the Company acquired operating leases in which the Company recorded an operating lease right of use asset and liability in total of $0.4 million. This includes a lease agreement renting office space in Bresso, in the Province of Milan, Italy. The Lease Agreement commenced on September 1, 2016 and will end on August 31, 2028. At acquisition date, the Company recorded an operating lease right of use asset and liability of $0.1 million. This also includes a lease agreement renting office space in Medolla, in the Province of Modena, Italy. The Lease Agreement commenced on June 18, 2018, with a duration of 12 years, until January 31, 2030. At acquisition date, the Company recorded an operating lease right of use asset and liability of $0.2 million. The acquired lease agreements also included other operating leases two of which are car leases and the other a printing press.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the above-mentioned Lease Agreement for the office space in Medolla was renegotiated. The new Lease Agreement includes an additional space and commenced on February 1, 2024, and will end on January 31, 2036, substituting the Lease Agreement commenced in June 2018. The Company recorded an additional $0.2 million of operating lease right of use asset and liability during the nine months ended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lease expense on a straight-line basis over the term of its operating lease. During the nine months ended September 30, 2024 and 2023, the Company recorded rent expense of $0.1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as follows (in thousands except lease terms and discount rates):</w:t>
      </w:r>
    </w:p>
    <w:tbl>
      <w:tblPr>
        <w:tblW w:w="6729" w:type="dxa"/>
        <w:jc w:val="left"/>
        <w:tblInd w:w="0" w:type="dxa"/>
        <w:tblLayout w:type="fixed"/>
        <w:tblCellMar>
          <w:top w:w="28" w:type="dxa"/>
          <w:left w:w="28" w:type="dxa"/>
          <w:bottom w:w="28" w:type="dxa"/>
          <w:right w:w="28" w:type="dxa"/>
        </w:tblCellMar>
      </w:tblPr>
      <w:tblGrid>
        <w:gridCol w:w="1196"/>
        <w:gridCol w:w="1054"/>
        <w:gridCol w:w="1064"/>
        <w:gridCol w:w="344"/>
        <w:gridCol w:w="759"/>
        <w:gridCol w:w="441"/>
        <w:gridCol w:w="109"/>
        <w:gridCol w:w="109"/>
        <w:gridCol w:w="109"/>
        <w:gridCol w:w="328"/>
        <w:gridCol w:w="725"/>
        <w:gridCol w:w="491"/>
      </w:tblGrid>
      <w:tr>
        <w:trPr/>
        <w:tc>
          <w:tcPr>
            <w:tcW w:w="119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 net</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operating lease liability</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liability</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years</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lease agreements as of September 30, 2024, were as follows (in thousands):</w:t>
      </w:r>
    </w:p>
    <w:tbl>
      <w:tblPr>
        <w:tblW w:w="3411" w:type="dxa"/>
        <w:jc w:val="left"/>
        <w:tblInd w:w="0" w:type="dxa"/>
        <w:tblLayout w:type="fixed"/>
        <w:tblCellMar>
          <w:top w:w="28" w:type="dxa"/>
          <w:left w:w="28" w:type="dxa"/>
          <w:bottom w:w="28" w:type="dxa"/>
          <w:right w:w="28" w:type="dxa"/>
        </w:tblCellMar>
      </w:tblPr>
      <w:tblGrid>
        <w:gridCol w:w="935"/>
        <w:gridCol w:w="820"/>
        <w:gridCol w:w="825"/>
        <w:gridCol w:w="211"/>
        <w:gridCol w:w="466"/>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remaining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Stockholders’ Equity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2023, the Company’s Board of Directors declared a dividend of one preferred share purchase right (a “Right”) for each outstanding share of the common stock of the Company. The dividend was effective as of April 17, 2023 (the “Record Date”) with respect to stockholders of record on that date. The Rights also attached to shares of common stock issued after the Record Date. Each Right entitled the registered holder to purchase from the Company one one-thousandth of a share of Series A Junior Participating Preferred Stock, par value $0.001 per share, (the “Preferred Shares”), of the Company at a price of $6.00 per one one-thousandth of a Preferred Share, subject to adjustment.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5, 2024, the Rights Plan and the Rights issued thereunder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Stock-Based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three stock plans as of September 30, 2024:</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2019 Equity Incentive Plan (Quince)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2019 Equity Incentive Plan (Novosteo)</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2022 Inducement Plan (Quince)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2019 Equity Incentive Plan (Quince)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4, 2014, the Company’s stockholders approved the 2014 Stock Plan (“2014 Plan”), and on April 25, 2019 amended, restated and re-named the 2014 Plan as the 2019 Equity Incentive Plan (the “Quince 2019 Plan”), which became effective as of May 7, 2019, the day prior to the effectiveness of the registration statement filed in connection with the IPO. The remaining shares available for issuance under the 2014 Plan were added to the shares reserved for issuance under the Quince 2019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Quince 2019 Plan provides for the grant of stock options (including incentive stock options and non-qualified stock options), stock appreciation rights, restricted stock, RSUs, performance units, and performance shares to the Company’s employees, directors, and consultants. As of September 30, 2024, the maximum aggregate number of shares that may be issued under the 2019 Plan is 11,755,418 shares of the Company’s common stock. In addition, the number of shares available for issuance under the Quince 2019 Plan will be annually increased on the first day of each fiscal years beginning with fiscal 2020, by an amount equal to the least of (i) 2,146,354 shares of common stock; (ii) 4% of the outstanding shares of its common stock as of the last day of its immediately preceding fiscal year; and (iii) such other amount as the Board may determine.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Quince 2019 Plan may be amended, suspended or terminated by the Board at any time, provided such action does not impair the existing rights of any participant, subject to stockholder approval of any amendment to the Quince 2019 Plan as required by applicable law or listing requirements. Unless sooner terminated by the Company's Board of Directors, the 2019 Plan will automatically terminate on April 23, 2029.</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had 2,288,074 shares available for future issuance under the Quince 2019 Plan.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under the 2019 Plan may be granted for periods of up to 10 years and at prices no less than 100% of the fair market value of the shares on the date of grant. If, at the time of grant, the optionee directly owns stocks representing more than 10% of the voting power of all our outstanding capital stock, the exercise price for these options must be at least 110% of the fair value of the underlying common stock. Stock options granted to employees and non-employees generally have a maximum term of ten years and vest over four years from the vesting commencement date, of which 25% vest on the one-year anniversary of the vesting commencement date, and 75% vest in equal monthly installments over the remaining three years or monthly vesting over 3 to 4 years. We may grant options with different vesting terms from time to time. Unless an employee's or non-employee's termination is due to cause, disability or death, upon termination of service, any unexercised vested options will be forfeited at the end of the three months from the termination date or expiration of the option, whichever is earlier.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 for service-based stock options under the Quince 2019 Plan is as follows:</w:t>
      </w:r>
    </w:p>
    <w:tbl>
      <w:tblPr>
        <w:tblW w:w="10205" w:type="dxa"/>
        <w:jc w:val="left"/>
        <w:tblInd w:w="0" w:type="dxa"/>
        <w:tblLayout w:type="fixed"/>
        <w:tblCellMar>
          <w:top w:w="28" w:type="dxa"/>
          <w:left w:w="28" w:type="dxa"/>
          <w:bottom w:w="28" w:type="dxa"/>
          <w:right w:w="28" w:type="dxa"/>
        </w:tblCellMar>
      </w:tblPr>
      <w:tblGrid>
        <w:gridCol w:w="1813"/>
        <w:gridCol w:w="1592"/>
        <w:gridCol w:w="1599"/>
        <w:gridCol w:w="329"/>
        <w:gridCol w:w="329"/>
        <w:gridCol w:w="328"/>
        <w:gridCol w:w="109"/>
        <w:gridCol w:w="109"/>
        <w:gridCol w:w="109"/>
        <w:gridCol w:w="281"/>
        <w:gridCol w:w="684"/>
        <w:gridCol w:w="145"/>
        <w:gridCol w:w="109"/>
        <w:gridCol w:w="109"/>
        <w:gridCol w:w="109"/>
        <w:gridCol w:w="315"/>
        <w:gridCol w:w="315"/>
        <w:gridCol w:w="316"/>
        <w:gridCol w:w="109"/>
        <w:gridCol w:w="109"/>
        <w:gridCol w:w="109"/>
        <w:gridCol w:w="297"/>
        <w:gridCol w:w="657"/>
        <w:gridCol w:w="224"/>
      </w:tblGrid>
      <w:tr>
        <w:trPr/>
        <w:tc>
          <w:tcPr>
            <w:tcW w:w="181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Number of</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Options and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Unvested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Weighted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Average</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Weighted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average</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remaining</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contractual</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Aggregate</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intrinsic</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value</w:t>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December 31, 2023 </w:t>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4,267,178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 / forfeited</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September 30, 2024 </w:t>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7,548,506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vested and expected to vest as of September 30, 2024 </w:t>
            </w:r>
          </w:p>
        </w:tc>
        <w:tc>
          <w:tcPr>
            <w:tcW w:w="9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as of September 30, 2024 </w:t>
            </w:r>
          </w:p>
        </w:tc>
        <w:tc>
          <w:tcPr>
            <w:tcW w:w="98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the Company recognized stock-based compensation expense of $0.7 million and $2.2 million, respectively, related to options granted to employees and non-employees. For the three and nine months ended September 30, 2023, the Company recognized stock-based compensation expense of $0.6 million and $2.0 million, respectively, related to options granted to employees and non-employees.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expense is allocated on a departmental basis, based on the classification of the option holder. No income tax benefits have been recognized in the condensed consolidated statement of operations and comprehensive loss for stock-based compensation arrangements. As of September 30, 2024, total unamortized employee stock-based compensation was $5.5 million, which is expected to be recognized over the remaining estimated vesting period of 2.74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 (“RSUs”)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are share awards that entitle the holder to receive freely tradable shares of the Company’s common stock upon vesting. The fair value of RSUs is based upon the closing sales price of the Company’s common stock on the grant date. RSUs granted to employees generally vest over a 2 – 4 year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under the Company’s RSUs from the Quince 2019 Plan and related information:</w:t>
      </w:r>
    </w:p>
    <w:tbl>
      <w:tblPr>
        <w:tblW w:w="7993" w:type="dxa"/>
        <w:jc w:val="center"/>
        <w:tblInd w:w="0" w:type="dxa"/>
        <w:tblLayout w:type="fixed"/>
        <w:tblCellMar>
          <w:top w:w="28" w:type="dxa"/>
          <w:left w:w="28" w:type="dxa"/>
          <w:bottom w:w="28" w:type="dxa"/>
          <w:right w:w="28" w:type="dxa"/>
        </w:tblCellMar>
      </w:tblPr>
      <w:tblGrid>
        <w:gridCol w:w="992"/>
        <w:gridCol w:w="873"/>
        <w:gridCol w:w="879"/>
        <w:gridCol w:w="489"/>
        <w:gridCol w:w="489"/>
        <w:gridCol w:w="491"/>
        <w:gridCol w:w="190"/>
        <w:gridCol w:w="190"/>
        <w:gridCol w:w="190"/>
        <w:gridCol w:w="759"/>
        <w:gridCol w:w="1896"/>
        <w:gridCol w:w="555"/>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24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 Outstanding</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Number of Shares</w:t>
            </w:r>
            <w:r>
              <w:rPr>
                <w:color w:val="000000"/>
                <w:shd w:fill="FFFFFF" w:val="clear"/>
              </w:rPr>
              <w:t xml:space="preserve"> </w:t>
            </w:r>
          </w:p>
        </w:tc>
        <w:tc>
          <w:tcPr>
            <w:tcW w:w="5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Unvested - December 31, 2023 </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1,488</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4.30</w:t>
            </w:r>
            <w:r>
              <w:rPr>
                <w:color w:val="000000"/>
              </w:rPr>
              <w:t> </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cancelled</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Unvested - September 30, 2024 </w:t>
            </w:r>
          </w:p>
        </w:tc>
        <w:tc>
          <w:tcPr>
            <w:tcW w:w="14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RSUs is determined on the grant date based on the fair value of the Company’s common stock. The fair value of the RSUs is recognized as expense ratably over the vesting period of two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the Company recognized stock-based compensation expense of $0 and $4.4 thousand, respectively, related to these RSUs. For the three and nine months ended September 30, 2023, the Company recognized stock-based compensation expense of $6.4 thousand and $37.5 thousand respectively, related to these RSUs. As of September 30, 2024, total unamortized stock-based compensation related to RSUs was $0.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2019 Equity Incentive Plan (Novosteo)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19, 2022, in accordance with the term of the Merger Agreement, the Company assumed the 2019 Novosteo, Inc. Equity Incentive Plan (the "2019 Novosteo Plan"). The 2019 Novosteo Plan provides for the grant of stock options (including incentive stock options and non-qualified stock options), stock appreciation rights, restricted stock, RSUs, performance units, and performance shares to the Novosteo legacy employees. On the closing date, each outstanding Novosteo stock option granted under Novosteo’s equity compensation plans was converted into a corresponding stock option with the number of shares underlying such option and the applicable exercise price adjusted based on the exchange ratio of 0.0911. Each such converted stock option continues to be subject to substantially the same terms and conditions as applied to the corresponding Novosteo stock option prior to the Acquisition. The maximum aggregate number of shares that may be issued under the 2019 Novosteo Plan is 544,985 shares of the Company’s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Novosteo Plan may be amended, suspended or terminated by the Board at any time, provided such action does not impair the existing rights of any participant, subject to stockholder approval of any amendment to the 2019 Novosteo Plan as required by applicable law or listing requirements. Unless sooner terminated by the Board, the 2019 Novosteo Plan will automatically terminate on May 20, 2029.</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under the 2019 Novosteo Plan may be granted for periods of up to 10 years and at prices no less than 100% of the fair market value of the shares on the date of grant. If, at the time of grant, the optionee directly owns stocks representing more than 10% of the voting power of all our outstanding capital stock, the exercise price for these options must be at least 110% of the fair value of the underlying common stock. Stock options granted to employees and non-employees generally have a maximum term of ten years and vest over four years from the vesting commencement date, of which 25% vest on the one-year anniversary of the vesting commencement date, and 75% vest in equal monthly installments over the remaining three years or monthly vesting over 3 to 4 years. We may grant options with different vesting terms from time to time. Unless an employee's or non-employee's termination is due to cause, disability or death, upon termination of service, any unexercised vested options will be forfeited at the end of the three months from the termination date or expiration of the option, whichever is earlier.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had 246,797 shares available for future issuance under the 2019 Novosteo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 for service-based stock options under the 2019 Novosteo Plan is as follows:</w:t>
      </w:r>
    </w:p>
    <w:tbl>
      <w:tblPr>
        <w:tblW w:w="10205" w:type="dxa"/>
        <w:jc w:val="left"/>
        <w:tblInd w:w="0" w:type="dxa"/>
        <w:tblLayout w:type="fixed"/>
        <w:tblCellMar>
          <w:top w:w="28" w:type="dxa"/>
          <w:left w:w="28" w:type="dxa"/>
          <w:bottom w:w="28" w:type="dxa"/>
          <w:right w:w="28" w:type="dxa"/>
        </w:tblCellMar>
      </w:tblPr>
      <w:tblGrid>
        <w:gridCol w:w="1814"/>
        <w:gridCol w:w="1593"/>
        <w:gridCol w:w="1600"/>
        <w:gridCol w:w="329"/>
        <w:gridCol w:w="326"/>
        <w:gridCol w:w="327"/>
        <w:gridCol w:w="109"/>
        <w:gridCol w:w="109"/>
        <w:gridCol w:w="109"/>
        <w:gridCol w:w="282"/>
        <w:gridCol w:w="684"/>
        <w:gridCol w:w="145"/>
        <w:gridCol w:w="109"/>
        <w:gridCol w:w="109"/>
        <w:gridCol w:w="109"/>
        <w:gridCol w:w="315"/>
        <w:gridCol w:w="315"/>
        <w:gridCol w:w="316"/>
        <w:gridCol w:w="109"/>
        <w:gridCol w:w="109"/>
        <w:gridCol w:w="109"/>
        <w:gridCol w:w="297"/>
        <w:gridCol w:w="657"/>
        <w:gridCol w:w="224"/>
      </w:tblGrid>
      <w:tr>
        <w:trPr/>
        <w:tc>
          <w:tcPr>
            <w:tcW w:w="181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Number of</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Options and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Unvested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Weighted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Average</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Weighted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average</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remaining</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contractual</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Aggregate</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intrinsic</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value</w:t>
            </w:r>
          </w:p>
        </w:tc>
      </w:tr>
      <w:tr>
        <w:trPr/>
        <w:tc>
          <w:tcPr>
            <w:tcW w:w="50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December 31, 2023 </w:t>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310,431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 / forfeited</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September 30, 2024 </w:t>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163,839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vested and expected to vest as of September 30, 2024 </w:t>
            </w:r>
          </w:p>
        </w:tc>
        <w:tc>
          <w:tcPr>
            <w:tcW w:w="98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as of September 30, 2024 </w:t>
            </w:r>
          </w:p>
        </w:tc>
        <w:tc>
          <w:tcPr>
            <w:tcW w:w="98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the Company recognized stock-based compensation expense of $48.7 thousand and $145.6 thousand, respectively, related to options granted to employees and non-employees for the 2019 Novosteo Plan. For the three and nine months ended September 30, 2023, the Company recognized stock-based compensation expense of $96.0 thousand and $226.0 thousand, respectively, related to options granted to employees and non-employees for the 2019 Novosteo Plan. The compensation expense is allocated on a departmental basis, based on the classification of the option holder. No income tax benefits have been recognized in the condensed consolidated statement of operations and comprehensive loss for stock-based compensation arrangements. As of September 30, 2024, total unamortized employee stock-based compensation was $288.1 thousand, which is expected to be recognized over the remaining estimated vesting period of 1.48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19, 2022, in accordance with the term of the Merger Agreement, the Company assumed a number of restricted stock award ("RSA") agreements with certain employees. Each outstanding Novosteo RSA was converted into a corresponding RSA with the number of shares underlying such RSA adjusted into 0.0911 shares of common stock. Each such converted RSA will continue to be subject to substantially the same terms and conditions as applied to the corresponding Novosteo RSA prior to the Acquisition.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w:t>
      </w:r>
    </w:p>
    <w:tbl>
      <w:tblPr>
        <w:tblW w:w="8032" w:type="dxa"/>
        <w:jc w:val="left"/>
        <w:tblInd w:w="0" w:type="dxa"/>
        <w:tblLayout w:type="fixed"/>
        <w:tblCellMar>
          <w:top w:w="28" w:type="dxa"/>
          <w:left w:w="28" w:type="dxa"/>
          <w:bottom w:w="28" w:type="dxa"/>
          <w:right w:w="28" w:type="dxa"/>
        </w:tblCellMar>
      </w:tblPr>
      <w:tblGrid>
        <w:gridCol w:w="992"/>
        <w:gridCol w:w="873"/>
        <w:gridCol w:w="879"/>
        <w:gridCol w:w="489"/>
        <w:gridCol w:w="489"/>
        <w:gridCol w:w="491"/>
        <w:gridCol w:w="203"/>
        <w:gridCol w:w="203"/>
        <w:gridCol w:w="203"/>
        <w:gridCol w:w="760"/>
        <w:gridCol w:w="1895"/>
        <w:gridCol w:w="555"/>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288"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 Outstanding</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Number of Shares</w:t>
            </w:r>
            <w:r>
              <w:rPr>
                <w:color w:val="000000"/>
                <w:shd w:fill="FFFFFF" w:val="clear"/>
              </w:rPr>
              <w:t xml:space="preserve"> </w:t>
            </w:r>
          </w:p>
        </w:tc>
        <w:tc>
          <w:tcPr>
            <w:tcW w:w="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Unvested - December 31, 2023 </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175,763</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3.30</w:t>
            </w:r>
            <w:r>
              <w:rPr>
                <w:color w:val="000000"/>
              </w:rPr>
              <w:t> </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 granted</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 vested</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(73,010)</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 cancelled</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Unvested - September 30, 2024 </w:t>
            </w:r>
          </w:p>
        </w:tc>
        <w:tc>
          <w:tcPr>
            <w:tcW w:w="14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102,753</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3.30</w:t>
            </w:r>
            <w:r>
              <w:rPr>
                <w:color w:val="000000"/>
              </w:rPr>
              <w:t> </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the Company recognized stock-based compensation expense of $0.1 million and $0.2 million, respectively, related to restricted stock awards. For the three and nine months ended September 30, 2023, the Company recognized stock-based compensation expense of $0.2 million and $0.4 million, respectively, related to restricted stock awards. The compensation expense is allocated on a departmental basis, based on the classification of the award holder. No income tax benefits have been recognized in the condensed consolidated statement of operations and comprehensive loss for stock-based compensation arrangements. As of September 30, 2024, total unamortized employee stock-based compensation was $0.3 million, which is expected to be recognized over the remaining estimated vesting period of 0.99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2022 Inducement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9, 2022, the Company's Board of Directors approved 4,000,000 shares of common stock that may be offered or issued under the Quince Therapeutics, Inc. 2022 Inducement Plan (the "2022 Inducement Plan"). The 2022 Inducement Plan was adopted by the independent members of the Board without stockholder approval pursuant to Rule 5635(c)(4) of the Nasdaq Listing Rules (“Nasdaq Rule 5635(c)(4)”). In accordance with Nasdaq Rule 5635(c)(4), awards under those plans may only be made to an employee who has not previously been an employee or member of the Board of Directors or of any board of directors of any parent or subsidiary of the Company, or following a bona fide period of non-employment by the Company or a parent or subsidiary, if he or she is granted such award in connection with his or her commencement of employment with the Company or a subsidiary and such grant is an inducement material to his or her entering into employment with the Company or such subsidiary. The terms and conditions of the 2022 Inducement Plan are substantially similar to those of the Quince 2019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under the 2022 Inducement Plan may be granted for periods of up to 10 years at prices no less than 100% of the fair market value of the shares on the date of grant. Options granted to employees may have different performance goals or other vesting provisions (including continued employment) in accordance with the applicable award agreement. Unless an employee's termination service is due to disability or death, upon termination of service, any unexercised vested options will be forfeited at the end of the three months from the date of termination or expiration of the option, whichever is earlier.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had 1,666,694 shares available for future issuance under the 2022 Inducement Plan.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 for service-based stock options under the 2022 Inducement Plan is as follows:</w:t>
      </w:r>
    </w:p>
    <w:tbl>
      <w:tblPr>
        <w:tblW w:w="10205" w:type="dxa"/>
        <w:jc w:val="left"/>
        <w:tblInd w:w="0" w:type="dxa"/>
        <w:tblLayout w:type="fixed"/>
        <w:tblCellMar>
          <w:top w:w="28" w:type="dxa"/>
          <w:left w:w="28" w:type="dxa"/>
          <w:bottom w:w="28" w:type="dxa"/>
          <w:right w:w="28" w:type="dxa"/>
        </w:tblCellMar>
      </w:tblPr>
      <w:tblGrid>
        <w:gridCol w:w="1813"/>
        <w:gridCol w:w="1592"/>
        <w:gridCol w:w="1599"/>
        <w:gridCol w:w="329"/>
        <w:gridCol w:w="329"/>
        <w:gridCol w:w="328"/>
        <w:gridCol w:w="109"/>
        <w:gridCol w:w="109"/>
        <w:gridCol w:w="109"/>
        <w:gridCol w:w="281"/>
        <w:gridCol w:w="684"/>
        <w:gridCol w:w="145"/>
        <w:gridCol w:w="109"/>
        <w:gridCol w:w="109"/>
        <w:gridCol w:w="109"/>
        <w:gridCol w:w="315"/>
        <w:gridCol w:w="315"/>
        <w:gridCol w:w="316"/>
        <w:gridCol w:w="109"/>
        <w:gridCol w:w="109"/>
        <w:gridCol w:w="109"/>
        <w:gridCol w:w="342"/>
        <w:gridCol w:w="342"/>
        <w:gridCol w:w="494"/>
      </w:tblGrid>
      <w:tr>
        <w:trPr/>
        <w:tc>
          <w:tcPr>
            <w:tcW w:w="181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Number of</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Options and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Unvested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Weighted</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Average</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Aggregate</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intrinsic</w:t>
            </w:r>
          </w:p>
          <w:p>
            <w:pPr>
              <w:pStyle w:val="TableContents"/>
              <w:bidi w:val="0"/>
              <w:spacing w:lineRule="auto" w:line="276"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value</w:t>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December 31, 2023 </w:t>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2,333,306</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 / forfeited</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September 30, 2024 </w:t>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2,333,306</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vested and expected to vest as of September 30, 2024 </w:t>
            </w:r>
          </w:p>
        </w:tc>
        <w:tc>
          <w:tcPr>
            <w:tcW w:w="9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2,333,306</w:t>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as of September 30, 2024 </w:t>
            </w:r>
          </w:p>
        </w:tc>
        <w:tc>
          <w:tcPr>
            <w:tcW w:w="98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1,361,094</w:t>
            </w:r>
          </w:p>
        </w:tc>
        <w:tc>
          <w:tcPr>
            <w:tcW w:w="327" w:type="dxa"/>
            <w:gridSpan w:val="3"/>
            <w:tcBorders>
              <w:top w:val="doub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the Company recognized stock-based compensation expense of $0.3 million and $1.0 million, respectively, related to options granted to employees for the 2022 Inducement Plan. For the three and nine months ended September 30, 2023, the Company recognized stock-based compensation expense of $0.4 million and $1.5 million, respectively, related to options granted to employees for the 2022 Inducement Plan. The compensation expense is allocated on a departmental basis, based on the classification of the option holder. No income tax benefits have been recognized in the condensed consolidated statement of operations and comprehensive for stock-based compensation arrangements. As of September 30, 2024, total unamortized employee stock-based compensation was $2.2 million, which is expected to be recognized over the remaining estimated vesting period of 1.64 years.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employee and non-employee stock-based compensation expense for the three and nine months ended September 30, 2024 and 2023 and the allocation within the condensed consolidated statements of operations and comprehensive loss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tbl>
      <w:tblPr>
        <w:tblW w:w="8662" w:type="dxa"/>
        <w:jc w:val="left"/>
        <w:tblInd w:w="0" w:type="dxa"/>
        <w:tblLayout w:type="fixed"/>
        <w:tblCellMar>
          <w:top w:w="28" w:type="dxa"/>
          <w:left w:w="28" w:type="dxa"/>
          <w:bottom w:w="28" w:type="dxa"/>
          <w:right w:w="28" w:type="dxa"/>
        </w:tblCellMar>
      </w:tblPr>
      <w:tblGrid>
        <w:gridCol w:w="1093"/>
        <w:gridCol w:w="960"/>
        <w:gridCol w:w="962"/>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68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2019, the Company's Board of Directors adopted its 2019 Employee Stock Purchase Plan (“2019 ESPP”), which was subsequently approved by the Company’s stockholders and became effective on May 7, 2019, the day immediately prior to the effectiveness of the registration statement filed in connection with the IPO. The 2019 ESPP is intended to qualify as an “employee stock purchase plan” within the meaning of Section 423 of the Internal Revenue Code (the “Code”) for U.S. employees. In addition, the 2019 ESPP authorizes grants of purchase rights that do not comply with Section 423 of the Code under a separate non-423 component for non-U.S. employees and certain non-U.S. service providers. The Company has reserved 1,924,262 shares of common stock for issuance under the 2019 ESPP. In addition, the number of shares reserved for issuance under the 2019 ESPP will be increased automatically on the first day of each fiscal year for a period of up to ten years, starting with the 2020 fiscal year, by a number equal to the lesser of: (i) 536,589 shares; (ii) 1% of the shares of common stock outstanding on the last day of the prior fiscal year; or (iii) such lesser number of shares determined by the Company's Board of Directors. The 2019 ESPP is expected to be implemented through a series of offerings under which participants are granted purchase rights to purchase shares of the Company’s common stock on specified dates during such offerings. The Company has not yet approved an offering under the 2019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Long-term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EryDel on October 20, 2023, the Company assumed an unsecured line of credit between EryDel and the European Investment Bank (the "EIB Loan"). The EIB Loan was amended and restated as of the acquisition date. The EIB Loan provides for maximum borrowings of 30.0 million euro through four tranches; tranche A, 3.0 million euro; tranche B, 7.0 million euro; tranche C, 10.0 million euro; and tranche D, 10.0 million euro. Each tranche is subject to conditions precedent related to the Company’s business and capitalization. As of September 30, 2024, only tranches A and B have been drawn. All amounts due under tranche A and B are payable on their maturity date of August 2026. Tranche C and D are payable in equal installments of principal together with all amounts outstanding under the tranches on the repayment dates specified in the relevant Disbursement Offer. The first Repayment Date of tranche C shall fall not earlier than twelve months from the Disbursement Date of such tranche. The last Repayment Date of tranche C and tranche D shall fall not later than 5 years from the Disbursement Date of tranche C and tranche D, respectively. The EIB Loan bears interest at fixed rates for each tranche and is payable on the maturity date for each Tranche. The fixed rates range from 7.0% to 9.0% per annum. As of September 30, 2024, principal of 10.0 million euros ($11.2 million) was outstanding on the EIB Loan and it is recorded as Long-term debt on the condensed consolidated balance sheet at fair value with imputed interest of 9.0% included.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Agreement requires the Company to maintain a minimum cash balance of 14.65 million euros ($16.4 million) until the outstanding obligations under the Debt Agreement, together with accrued interest and all other amounts accrued or outstanding under the agreement, is repaid in full (the “Minimum Cash Covenant”) . Furthermore, the Company may at any time voluntarily prepay, in whole or in part, together with certain fees as set forth in the Debt Agreement, the outstanding obligations under the Debt Agreement. In the event of a default or a change in control, as specified in the Debt Agreement, EIB may, subject to certain grace periods, accelerate the outstanding obligations under the EIB Loan.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 entered into an amendment (the “Amendment”) of the Debt Agreement with EIB which waives the Minimum Cash Covenant from January 1, 2025 and up to the earlier of December 31, 2025, or the date the Minimum Cash Covenant is restored. Under the terms of the Amendment, the Company agreed to amendments requiring monthly reporting of cash balances and additional limitations on certain permitted acquisitions. Additionally, during the waiver period, the Company agreed to convert 2% of the total 9% deferred interest on Tranches A and B to be payable quarterly, with the first payment due on March 31, 2025, and a one-time fee of 20,000 euros in connection with the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Agreement includes a provision for additional remuneration to be paid in addition to interest. The amount of additional remuneration to be paid is equal to 2.5% of revenue up to 125.0 million euros, plus 1.85% of revenue between 125.0 and 250.0 million euros, plus 1.0% of revenue in excess of 250.0 million euros, multiplied by a varying percentage based on how many tranches have been drawn. The varying percentage is equal to 30.0% in the event tranche A has been drawn, 50.0% in the event tranche A and B have been drawn, 80.0% in the event tranche A, B and C have been drawn, and 100.0% in the event all four tranches have been drawn. The additional remuneration is payable for seven years, during the period January 1, 2026, through December 31, 2032. In the event of an occurrence of an event of default or prepayment, the Company may be required to pay an additional remuneration buyout fee.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to account for the EIB Loan at fair value, which requires the EIB Loan to be recorded at fair value at issuance and at the end of each reporting period. Gains or losses upon remeasurement are to be recorded in other expense, net in the condensed consolidated statements of operations and comprehensive income. The Company presents separately in other comprehensive income the portion of the total change in the fair value of the EIB Loan that results from a change in instrument-specific credit risk. The EIB Loan’s fair value at the date it was assumed adjusted its carrying value based on using a discounted cash flow analysis with a discount rate based on a yield curve that was adjusted for credit rating. The change in fair value as of September 30, 2024 was determined using a discounted cash flow analysis discounted at the market yield. The significant inputs used to measure the market yield as of September 30, 2024 relative to the date the EIB Loan was assumed was the change in credit quality of the Company, the change in credit spreads for comparable debt instruments, and the change in the risk-free rate. As of September 30, 2024, the fair value of the EIB Loan is $14.9 million, which includes a fair value adjustment of $1.3 million and foreign currency translation of $0.2 million during the nine months ended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principal payments, as of September 30, 2024 are as follows (in thousands):</w:t>
      </w:r>
    </w:p>
    <w:tbl>
      <w:tblPr>
        <w:tblW w:w="5027" w:type="dxa"/>
        <w:jc w:val="left"/>
        <w:tblInd w:w="0" w:type="dxa"/>
        <w:tblLayout w:type="fixed"/>
        <w:tblCellMar>
          <w:top w:w="28" w:type="dxa"/>
          <w:left w:w="28" w:type="dxa"/>
          <w:bottom w:w="28" w:type="dxa"/>
          <w:right w:w="28" w:type="dxa"/>
        </w:tblCellMar>
      </w:tblPr>
      <w:tblGrid>
        <w:gridCol w:w="1310"/>
        <w:gridCol w:w="1150"/>
        <w:gridCol w:w="1154"/>
        <w:gridCol w:w="109"/>
        <w:gridCol w:w="109"/>
        <w:gridCol w:w="109"/>
        <w:gridCol w:w="211"/>
        <w:gridCol w:w="721"/>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Quarter ended September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Imputed interest and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Debt as of September 30,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$13.0 thousand and $80.0 thousand of tax expense for the three and nine months ended September 30, 2024, respectively, primarily related to foreign withholding tax and interest on the uncertain tax position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history of losses and expects to incur a loss for 2024. The Company maintains a full valuation allowance against its net deferred tax assets as the Company believes it is not more likely than not that the benefit will be realized. The primary difference between the effective tax rate and the statutory tax rate relates to the change in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Net Loss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 is determined by dividing the net loss by the weighted-average common shares outstanding during the period, as follows (net loss in thousands):</w:t>
      </w:r>
    </w:p>
    <w:tbl>
      <w:tblPr>
        <w:tblW w:w="9544" w:type="dxa"/>
        <w:jc w:val="left"/>
        <w:tblInd w:w="0" w:type="dxa"/>
        <w:tblLayout w:type="fixed"/>
        <w:tblCellMar>
          <w:top w:w="28" w:type="dxa"/>
          <w:left w:w="28" w:type="dxa"/>
          <w:bottom w:w="28" w:type="dxa"/>
          <w:right w:w="28" w:type="dxa"/>
        </w:tblCellMar>
      </w:tblPr>
      <w:tblGrid>
        <w:gridCol w:w="1408"/>
        <w:gridCol w:w="1241"/>
        <w:gridCol w:w="1250"/>
        <w:gridCol w:w="241"/>
        <w:gridCol w:w="790"/>
        <w:gridCol w:w="124"/>
        <w:gridCol w:w="124"/>
        <w:gridCol w:w="124"/>
        <w:gridCol w:w="124"/>
        <w:gridCol w:w="241"/>
        <w:gridCol w:w="790"/>
        <w:gridCol w:w="124"/>
        <w:gridCol w:w="109"/>
        <w:gridCol w:w="109"/>
        <w:gridCol w:w="109"/>
        <w:gridCol w:w="213"/>
        <w:gridCol w:w="807"/>
        <w:gridCol w:w="110"/>
        <w:gridCol w:w="110"/>
        <w:gridCol w:w="110"/>
        <w:gridCol w:w="110"/>
        <w:gridCol w:w="213"/>
        <w:gridCol w:w="807"/>
        <w:gridCol w:w="156"/>
      </w:tblGrid>
      <w:tr>
        <w:trPr/>
        <w:tc>
          <w:tcPr>
            <w:tcW w:w="140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43,164,136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36,073,040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43,090,632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35,941,234</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potentially dilutive shares have been excluded from the calculation of diluted net loss per share for the periods presented because including them would have been antidilutive:</w:t>
      </w:r>
    </w:p>
    <w:tbl>
      <w:tblPr>
        <w:tblW w:w="5552" w:type="dxa"/>
        <w:jc w:val="left"/>
        <w:tblInd w:w="0" w:type="dxa"/>
        <w:tblLayout w:type="fixed"/>
        <w:tblCellMar>
          <w:top w:w="28" w:type="dxa"/>
          <w:left w:w="28" w:type="dxa"/>
          <w:bottom w:w="28" w:type="dxa"/>
          <w:right w:w="28" w:type="dxa"/>
        </w:tblCellMar>
      </w:tblPr>
      <w:tblGrid>
        <w:gridCol w:w="1146"/>
        <w:gridCol w:w="1008"/>
        <w:gridCol w:w="1011"/>
        <w:gridCol w:w="344"/>
        <w:gridCol w:w="344"/>
        <w:gridCol w:w="348"/>
        <w:gridCol w:w="125"/>
        <w:gridCol w:w="125"/>
        <w:gridCol w:w="125"/>
        <w:gridCol w:w="284"/>
        <w:gridCol w:w="284"/>
        <w:gridCol w:w="408"/>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38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10,045,651</w:t>
            </w:r>
          </w:p>
        </w:tc>
        <w:tc>
          <w:tcPr>
            <w:tcW w:w="375"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7,469,163</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200,099</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10,148,404</w:t>
            </w:r>
          </w:p>
        </w:tc>
        <w:tc>
          <w:tcPr>
            <w:tcW w:w="375"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7,672,237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Business Combination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EryDel Business Combination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20, 2023, the Company completed its acquisition of EryDel, a privately held, late-stage biotechnology company with a lead Phase 3 lead asset, EryDex, that targets the potential treatment of a rare neurodegenerative disease, A-T. The acquisition will drive Quinces’ next stage of growth, as EryDel’s proprietary drug-device combination technology platform and promising late-stage clinical asset represents an opportunity for the Company to expand into several debilitating rare diseases where chronic corticosteroid treatment is – or has the potential to become – a standard of care if there were not corticosteroid-related safety concerns. The Company accounted for this acquisition in accordance with ASC 805, Business Combinations, which requires the assets acquired and the liabilities assumed to be measured at fair value at the date of the acquisition. As part of the acquisition of EryDel, the Company recorded deferred tax liability of $5.1 million and uncertain tax position liability of $0.5 million against Goodwill.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the consideration transferred for EryDel was approximately $66.9 million, which consisted of the following (in thousands):</w:t>
      </w:r>
    </w:p>
    <w:tbl>
      <w:tblPr>
        <w:tblW w:w="6749" w:type="dxa"/>
        <w:jc w:val="left"/>
        <w:tblInd w:w="0" w:type="dxa"/>
        <w:tblLayout w:type="fixed"/>
        <w:tblCellMar>
          <w:top w:w="28" w:type="dxa"/>
          <w:left w:w="28" w:type="dxa"/>
          <w:bottom w:w="28" w:type="dxa"/>
          <w:right w:w="28" w:type="dxa"/>
        </w:tblCellMar>
      </w:tblPr>
      <w:tblGrid>
        <w:gridCol w:w="1643"/>
        <w:gridCol w:w="1445"/>
        <w:gridCol w:w="1472"/>
        <w:gridCol w:w="424"/>
        <w:gridCol w:w="1453"/>
        <w:gridCol w:w="312"/>
      </w:tblGrid>
      <w:tr>
        <w:trPr/>
        <w:tc>
          <w:tcPr>
            <w:tcW w:w="16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Consideration</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Quince Therapeutics common stock (7,250,352 shares)</w:t>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preexisting notes receivable</w:t>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 transferred</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66,907 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common stock was determined based on the closing market price of the Company’s common stock of $0.989 per share on the acquisition date. The aggregate stock consideration consists of 6,525,315 shares of Company’s common stock issued at closing and 725,037 shares of common stock (the “Indemnity Holdback Shares”) were withheld by the Company until October 2024 for general representations and warranties. The Company has included the total fair value of the stock consideration within additional-paid-in capital and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2024, upon the first anniversary of the closing of the EryDel Acquisition (the “Holdback Release Date”), and in accordance with the purchase agreement entered into in connection with EryDel Acquisition, the Indemnity Holdback Shares were released to the EryDel shareholders. As of the Holdback Release Date, no indemnification claims were made by the Company. No further stock consideration is available for issuance and no additional shares will be issued in connection with the EryDel Acquisition.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contingent consideration arrangement requires the Company to pay $485.0 million of additional consideration in cash, comprised of up to $5.0 million upon the enrollment of the first patient in the Phase 3 NEAT clinical trial, which was paid in the third quarter of 2024, $25.0 million at NDA acceptance, up to $60.0 million upon the achievement of specified approval milestones, and up to $395.0 million upon the achievement of specified on market and sales milestones. The Company estimated the fair value of the contingent consideration using a probability-weighted discounted cash flow model. This fair value measurement is based on significant inputs not observable in the market and thus represents a Level 3 measurement as defined in ASC 820. The key assumptions in applying the income approach are as follows: 15% discount rate, probability of achievement, 0% to 100%, each of the milestones and future revenues from commercialization over the contingent consideration period. No contingent consideration is payable unless and until the milestones are achieved. The fair value of each milestone after the acquisition is reassessed, with the subsequent change in fair value recorded in the Company’s consolidated statements of operations and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the Company enrolled the first patient in the Phase 3 NEAT clinical trial. During the three months ended September 30, 2024, the Company paid the cash milestone payment of $5 million to the former EryDel shareholders in accordance with the purchase agreement entered into in connection with EryDel Acquisition.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the consideration paid for EryDel to the estimated fair value of the assets acquired and liabilities assumed at the acquisition date, with the excess recorded to goodwill (in thousands):</w:t>
      </w:r>
    </w:p>
    <w:tbl>
      <w:tblPr>
        <w:tblW w:w="6765" w:type="dxa"/>
        <w:jc w:val="left"/>
        <w:tblInd w:w="0" w:type="dxa"/>
        <w:tblLayout w:type="fixed"/>
        <w:tblCellMar>
          <w:top w:w="28" w:type="dxa"/>
          <w:left w:w="28" w:type="dxa"/>
          <w:bottom w:w="28" w:type="dxa"/>
          <w:right w:w="28" w:type="dxa"/>
        </w:tblCellMar>
      </w:tblPr>
      <w:tblGrid>
        <w:gridCol w:w="1386"/>
        <w:gridCol w:w="1216"/>
        <w:gridCol w:w="1223"/>
        <w:gridCol w:w="571"/>
        <w:gridCol w:w="1952"/>
        <w:gridCol w:w="417"/>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Purchase Price Allocation</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5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assets</w:t>
            </w:r>
          </w:p>
        </w:tc>
        <w:tc>
          <w:tcPr>
            <w:tcW w:w="2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61,096 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non-current</w:t>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(12,564)</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5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25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2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(23,144)</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 transferred</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66,907 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price allocation is preliminary and may change as a result of additional information obtained regarding assets acquired and liabilities assumed and revisions of estimates of fair values of intangible assets and related deferred tax assets and liabilities. The Company will finalize its valuation and the allocation of the purchase price, along with required retrospective adjustments, if any, within a year following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identifiable Acquired IPR&amp;D intangible assets was $60.6 million. IPR&amp;D was determined using the MPEEM under the income approach. MPEEM calculates the economic benefits by determining the income attributable to an intangible asset after the returns are subtracted for contributory assets such as working capital, assembled workforce, and fixed assets. The resulting after-tax net earnings were discounted at 16.6%, a rate commensurate with the risk inherent in the economic benefit projections of the assets. The probability-weighted, projected cash flows were calculated based on projections of revenues and expenses related to the asset and were assumed to extend through a multi-year projection period. The IPR&amp;D has an indefinite useful life, and as such, is not amortized but rather tested for impairment at least annually.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trade name intangible assets was $0.5 million. The trade name intangible assets were derived using the relief from royalties method under the income approach, utilizing royalty rate of 0.3%. This approach is used to estimate the cost savings that accrue for the owner of an intangible asset who would otherwise have to pay royalties or licensing fees on revenues earned through the use of the asset if they had not owned the rights to use the assets. The probability-weighted, net after-tax royalty savings are calculated for each year in the remaining economic life of the intangible asset and discounted to present value using a discount rate of 16.6%. The trademark has a useful life of 21 years. The trademark is amortized on a straight-line basis over the useful life.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fair value of purchase consideration over the fair value of net tangible and identifiable intangible assets acquired was recorded as goodwill, which is primarily attributed to the assembled workforce and expanded global market opportunities. None of the goodwill is expected to be deductible for income tax purposes. Goodwill is not amortized but is tested for impairment at least annually, refer to Note 13 for this assessment.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costs associated with the acquisition were approximately $2.5 million, of which $2.3 million were recorded in general and administrative expenses and $0.2 million were recorded in research and development expenses in the consolidated statement of operations and comprehensive loss.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the financial results of EryDel in the consolidated financial statements from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Intangible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EryDel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carrying amount of the Company's indefinite-lived intangible asset (in thousands):</w:t>
      </w:r>
    </w:p>
    <w:tbl>
      <w:tblPr>
        <w:tblW w:w="5024" w:type="dxa"/>
        <w:jc w:val="left"/>
        <w:tblInd w:w="0" w:type="dxa"/>
        <w:tblLayout w:type="fixed"/>
        <w:tblCellMar>
          <w:top w:w="28" w:type="dxa"/>
          <w:left w:w="28" w:type="dxa"/>
          <w:bottom w:w="28" w:type="dxa"/>
          <w:right w:w="28" w:type="dxa"/>
        </w:tblCellMar>
      </w:tblPr>
      <w:tblGrid>
        <w:gridCol w:w="1245"/>
        <w:gridCol w:w="1092"/>
        <w:gridCol w:w="1097"/>
        <w:gridCol w:w="309"/>
        <w:gridCol w:w="1056"/>
        <w:gridCol w:w="225"/>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as of December 31, 2023 </w:t>
            </w:r>
          </w:p>
        </w:tc>
        <w:tc>
          <w:tcPr>
            <w:tcW w:w="3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as of September 30, 2024 </w:t>
            </w:r>
          </w:p>
        </w:tc>
        <w:tc>
          <w:tcPr>
            <w:tcW w:w="3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64,064 </w:t>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carrying amount of the Company's finite-lived intangible asset (in thousands, except useful life):</w:t>
      </w:r>
    </w:p>
    <w:tbl>
      <w:tblPr>
        <w:tblW w:w="10205" w:type="dxa"/>
        <w:jc w:val="left"/>
        <w:tblInd w:w="0" w:type="dxa"/>
        <w:tblLayout w:type="fixed"/>
        <w:tblCellMar>
          <w:top w:w="28" w:type="dxa"/>
          <w:left w:w="28" w:type="dxa"/>
          <w:bottom w:w="28" w:type="dxa"/>
          <w:right w:w="28" w:type="dxa"/>
        </w:tblCellMar>
      </w:tblPr>
      <w:tblGrid>
        <w:gridCol w:w="634"/>
        <w:gridCol w:w="462"/>
        <w:gridCol w:w="464"/>
        <w:gridCol w:w="202"/>
        <w:gridCol w:w="202"/>
        <w:gridCol w:w="203"/>
        <w:gridCol w:w="109"/>
        <w:gridCol w:w="109"/>
        <w:gridCol w:w="109"/>
        <w:gridCol w:w="211"/>
        <w:gridCol w:w="466"/>
        <w:gridCol w:w="109"/>
        <w:gridCol w:w="109"/>
        <w:gridCol w:w="109"/>
        <w:gridCol w:w="109"/>
        <w:gridCol w:w="390"/>
        <w:gridCol w:w="695"/>
        <w:gridCol w:w="204"/>
        <w:gridCol w:w="109"/>
        <w:gridCol w:w="109"/>
        <w:gridCol w:w="109"/>
        <w:gridCol w:w="251"/>
        <w:gridCol w:w="555"/>
        <w:gridCol w:w="129"/>
        <w:gridCol w:w="109"/>
        <w:gridCol w:w="109"/>
        <w:gridCol w:w="109"/>
        <w:gridCol w:w="211"/>
        <w:gridCol w:w="466"/>
        <w:gridCol w:w="109"/>
        <w:gridCol w:w="109"/>
        <w:gridCol w:w="109"/>
        <w:gridCol w:w="109"/>
        <w:gridCol w:w="459"/>
        <w:gridCol w:w="590"/>
        <w:gridCol w:w="239"/>
        <w:gridCol w:w="109"/>
        <w:gridCol w:w="109"/>
        <w:gridCol w:w="109"/>
        <w:gridCol w:w="249"/>
        <w:gridCol w:w="550"/>
        <w:gridCol w:w="193"/>
      </w:tblGrid>
      <w:tr>
        <w:trPr/>
        <w:tc>
          <w:tcPr>
            <w:tcW w:w="63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September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2023 </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Accumulated Amortization</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Accumulated Amortization</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assets:</w:t>
            </w:r>
          </w:p>
        </w:tc>
        <w:tc>
          <w:tcPr>
            <w:tcW w:w="6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w:t>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performs annual impairment reviews of its intangible assets during the fourth fiscal quarter or more frequently if appropriate. As of September 30, 2024, the Company did not incur any impairment losses related to its EryDel intangible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Novosteo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decided to abandon internal development of NOV004 and pursue out-licensing opportunities. As a result, several of the assumptions used in determining the initial fair value have changed including discount rate and expected cash flows and thus triggered the need for an interim impairment assessment as required under ASC 350. And so, the Company performed a fair value assessment of the Intellectual Property as of March 31, 2023, and based upon this assessment, the fair value was determined to be significantly below its carrying value and resulted in an asset impairment charge of $5.9 million during the nine months ended September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EryDel Acquisition, the Company recorded goodwill, the excess of the fair value of purchase consideration over the fair value of net tangible and identifiable intangible assets acquired.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goodwill at least annually, as well as whenever events or changes in circumstances suggest that the carrying amount may not be recoverable. As of June 30, 2024, the Company performed an impairment evaluation of goodwill after assessing qualitative factors that indicated a possible impairment of goodwill.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qualitative assessment, management considers relevant events and circumstances including but not limited to macroeconomic conditions, industry and market considerations, overall Company performance and events directly affecting the Company. It was noted during the assessment that the Company's market capitalization was significantly below its carrying value and a further quantitative analysis was conducted to determine to the extent, if any, the Company's carrying value exceeded its fair value as of June 30, 2024. The quantitative analysis used fair value based on market capitalization adjusted for control premium based on market comparable transactions. This quantitative analysis resulted in the Company's fair value being significantly below its carrying value, resulting in a non-cash goodwill impairment charge of $17.1 million being recorded during the nine months ended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carrying amount of goodwill (in thousands):</w:t>
      </w:r>
    </w:p>
    <w:tbl>
      <w:tblPr>
        <w:tblW w:w="4520" w:type="dxa"/>
        <w:jc w:val="left"/>
        <w:tblInd w:w="0" w:type="dxa"/>
        <w:tblLayout w:type="fixed"/>
        <w:tblCellMar>
          <w:top w:w="28" w:type="dxa"/>
          <w:left w:w="28" w:type="dxa"/>
          <w:bottom w:w="28" w:type="dxa"/>
          <w:right w:w="28" w:type="dxa"/>
        </w:tblCellMar>
      </w:tblPr>
      <w:tblGrid>
        <w:gridCol w:w="1243"/>
        <w:gridCol w:w="1092"/>
        <w:gridCol w:w="1099"/>
        <w:gridCol w:w="211"/>
        <w:gridCol w:w="721"/>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as of December 31, 2023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as of September 30, 2024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Subsequent Events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the Holdback Release Date, and in accordance with the purchase agreement entered into, the Indemnity Holdback Shares were released to the EryDel shareholders. As of the Holdback Release Date, no indemnification claims were made by the Company. No further stock consideration is available for issuance and no additional shares will be issued in connection with the EryDel Acquisition.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Company entered into an amendment (the “Amendment”) of the Debt Agreement with EIB which waives the Minimum Cash Covenant from January 1, 2025 and up to the earlier of December 31, 2025, or the date the Minimum Cash Covenant is restored. Under the terms of the Amendment, the Company agreed to amendments requiring monthly reporting of cash balances and additional limitations on certain permitted acquisitions. Additionally, during the waiver period, the Company agreed to convert 2% of the total 9% deferred interest on Tranches A and B to be payable quarterly, with the first payment due on March 31, 2025, and a one-time fee of 20,000 euros in connection with the Amendment.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(i) our unaudited condensed consolidated financial statements and related notes appearing elsewhere in this Quarterly Report on Form 10-Q and (ii) our audited consolidated financial statements and related notes and the section titled "Management’s Discussion and Analysis of Financial Condition and Results of Operations" included in our Annual Report on Form 10-K for the year ended December 31, 2023 ("Annual Report on Form 10-K") filed with the Securities and Exchange Commission (the “SEC”), on April 1, 2024. Unless the context requires otherwise, references in this Quarterly Report on Form 10-Q to the “Company,” “Quince,” “we,” “us” and “our” refer to Quince Therapeutics, Inc. and "our legacy assets" refer to atuzaginstat (COR388), COR588, COR852, and COR803, collectively.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late-stage biotechnology company dedicated to unlocking the power of a patient’s own biology for the treatment of rare diseases.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proprietary AIDE technology platform is an innovative drug/device combination platform that uses an automated process to encapsulate a drug into a patient’s own red blood cells. Red blood cells have several characteristics that make them a potentially ideal vehicle for drug delivery, including potentially better tolerability, enhanced tissue distribution, reduced immunogenicity, and prolongation of circulating half-life. Our AIDE technology is designed to harness many of these benefits to allow for new and improved therapeutic options for patients living with high unmet medical needs. The AIDE technology platform may confer benefits over conventional therapies and if so, AIDE has the potential to be applied to a broad range of small or large molecule drugs and biologics.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EryDex is the first product in development that leverages our AIDE technology and is composed of DSP encapsulated in autologous red blood cells targeted to treat a rare pediatric neurodegenerative disease called A-T. DSP is a corticosteroid well known for its anti-inflammatory properties, as well as its dose-limiting toxicity due to adrenal suppression. EryDex is designed to alter the pharmacokinetics and biodistribution of the DSP allowing for effective and safe treatment.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November 13, 2024, 32 patients have been enrolled in the Phase 3 NEAT clinical trial of EryDex in A-T. We expect to report topline results from this trial in the fourth quarter of 2025, with a potential NDA submission in 2026, assuming positive study results.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and in accordance with the EryDel Purchase Agreement, we paid the former EryDel shareholders a cash milestone payment of $5 million related to the initiation of the Phase 3 clinical trial of EryDex in A-T. Additionally, on October 20, 2024, in accordance with the EryDel Purchase Agreement, no indemnification claim against the EryDel Shareholders had been made by the Company and all 725,037 Indemnity Holdback Shares were released to the former EryDel shareholders. No additional shares are required to be issued in connection with the EryDel Acquisition.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completed a patient sizing project with third-party analysis from IQVIA Medical Claims (Dx), PharmetricsPlus (P+), and IQVIA Analytics, which confirmed that there are approximately 4,600 diagnosed patients with A-T in the U.S. Currently, there are no approved treatments for A-T and the global market, based on our internal estimates and assumptions, represents a more than $1 billion peak commercial opportunity. We believe this could allow EryDex to demonstrate the clinical benefit and commercial potential of our AIDE technology.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Proprietary AIDE Technology Platform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proprietary AIDE technology platform is a novel drug/device combination that uses an automated process designed to encapsulate a drug into the patient’s own red blood cells. The AIDE technology drug/device combination consists of a specialized automated equipment including the RCL, a sterile single-use consumable treatment kit called EryKit, Syringe Kit, drug, and process solutions. Red blood cells have several characteristics that make them a potentially ideal vehicle for drug delivery, including potentially better tolerability, enhanced tissue distribution, reduced immunogenicity, and prolongation of circulating half-life. Our AIDE technology is designed to harness these benefits to allow for the chronic administration of drugs that have limitations due to toxicity, poor biodistribution, suboptimal pharmacokinetics, or immune response. In this way, our AIDE technology may confer benefits over conventional therapies and if so, AIDE has the potential to be applied to a broad range of small or large molecule drugs and biologics. The use of autologous blood may minimize safety risks associated with the use of donor blood and may reduce the potential immunogenic risks associated donor cells and engineered cell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RCL is a proprietary CE marked non-invasive device that allows blood processing at the point of care. With a user-friendly touch screen interface, the RCL automates the AIDE process technology by handling the blood, drug, and processing solutions with the use of the proprietary EryKit. Our EryKit is a CE marked medical device that provides the essential single-use components for loading the patient’s red blood cells with DSP by using the RCL. The RCL, EryKit, and Syringe Kit have been CE marked in accordance with the MDR. Process solutions (Hypotonic Solution 1&amp;2 and Hypertonic Solution PIGPA) are proprietary sterile solutions, CE marked according to the MDD, aimed to create suitable osmotic condition during the process to allow the drug diffusion into red blood cells and the subsequent restoring of physiological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automated AIDE process and treatment is designed to be completed at the point-of-care and includes a series of steps which take approximately two hours from start to finish. This process includes: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Collection of patient’s blood using our proprietary Syringe Kit.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Processing the patient's collected blood in the RCL using our proprietary EryKit.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Autologous red blood cells in the RCL are swollen and their pores are “opened” in two steps using two sequential hypotonic process solutions.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Drug is added to the RCL and enters into the opened red blood cells.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Physiological osmotic conditions are then restored by adding a hypertonic solution that “reseals” the red blood cells.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Drug that is not encapsulated during the process is removed by extensive washing with an injectable saline solution.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Upon completion of the AIDE process, the drug encapsulated red blood cells are infused into the patient.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Potential Benefits of Red Blood Cell Encapsulated Drug Delivery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efficacious drugs have limited therapeutic potential because of dose limiting toxicity, while other drugs may have efficacy ceilings due to inferior biodistribution, pharmacokinetics and pharmacodynamics. Our proprietary AIDE technology uses an automated process designed to encapsulate a drug into the patient’s own red blood cells to deliver a therapy in a potentially more effective and safer way. Autologous red blood cells have several characteristics that make them an ideal vehicle for drug delivery: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Potential for improved biodistribution as encapsulated drug in autologous red blood cells is designed to enable the slow release of the drug from the red blood cells traversing through the body, various tissue beds, and many capillaries for desired therapeutic effect.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Potential for altered pharmacokinetics and pharmacodynamics, including long circulating half-life, and altered or improved tissue distribution. The altered pharmacokinetics and pharmacodynamics of the encapsulated drug delivery enabled by autologous red blood cells may significantly increase the desired therapeutic effect and/or improve the safety profile of the therapy.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Potential for improved biocompatibility through the use of autologous red blood cells to, thereby avoiding issues with donor compatibility.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Potential for the encapsulation of small or large molecules, peptides, and proteins inside of autologous red blood cells to limit biodegradability, thereby altering the encapsulated drug’s metabolism and degradation.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Potential for significantly decreasing adverse effects of treatments.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Indications and Program Expansion Potential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flexibility of the AIDE platform has the potential to provide benefits over conventional therapies and if so, could be applied to a broad range of drugs ranging from small to large molecules, as well as biologics. Potential benefits include better tolerability, enhanced tissue distribution, reduced immunogenicity, and prolongation of circulating half-life which we believe could be an advantage for treating patients.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selected Duchenne muscular dystrophy (DMD) as our second development program. We consider DMD an ideal indication for EryDex as corticosteroids are the standard of care for this rare disease, but its utility is limited by significant chronic toxicity due to adrenal suppression. As a result, corticosteroid treatment in patients with DMD is commonly interrupted during adolescence due to interference with sexual maturation and delayed puberty. As a next step, we intend to focus on generating a Phase 2 clinical trial designed to evaluate EryDex for the potential treatment of patients with DMD, including those with corticosteroid intolerance who represent the majority of the DMD population. We plan to initiate a DMD Phase 2 study in 2025, which we plan to conduct utilizing capital efficient study approaches.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completed an initial assessment of other potential indications for EryDex where chronic corticosteroid treatment is – or has the potential to become – a standard of care if there were not corticosteroid-related safety concerns. This evaluation process spanned across ataxia, neuromuscular, hematology, cancer, and autoimmune disease indications with a focus on rare diseases. The prioritized list of other potential rare disease targets beyond A-T and DMD includes: 1) autoimmune hepatitis, 2) dermatomyositis, 3) pemphigus vulgaris, 4) Hashimoto's encephalopathy, 5) Becker muscular dystrophy, 6) pediatric lupus, 7) juvenile idiopathic arthritis, 8) myasthenia gravis, 9) limb-girdle muscular dystrophy, 10) chronic inflammatory demyelinating polyradiculoneuropathy, and 11) pulmonary sarcoidosis. To support our drug development pipeline expansion in a capital efficient structure, we would prioritize an investigator initiated clinical trial approach to evaluate EryDex for other potential rare disease indications. In addition, we intend to evaluate other potential applications of the AIDE technology platform using drugs and biologics targeted at rare and debilitating diseases to further expand our drug development pipeline.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AIDE technology platform reflects more than 20 years of innovation and approximately $100 million of investment, which has resulted in innovation that creates high barriers to competitive entry. The RCL, EryKit, Syringe Kit, and process solutions are proprietary products and CE marked in the EU, in accordance with the MDR and MDD.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Limitations of Chronic Corticosteroid Administration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DSP is a corticosteroid well known for its anti-inflammatory properties as well as its dose-limiting toxicity due to adrenal suppression. Our AIDE technology is designed to encapsulate DSP in a patient’s own red blood cells and to alter the biodistribution, pharmacokinetics, and pharmacodynamics of the DSP allowing for both effective and safe treatment.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optimal efficacy of corticosteroids is the result of two pharmacokinetic characteristics: 1) an initial bolus to achieve a high Cmax that results in high levels of corticosteroid receptor occupation; and 2) sufficient sustained tissue concentrations that allow for continued receptor site occupancy over time. </w:t>
      </w:r>
    </w:p>
    <w:p>
      <w:pPr>
        <w:pStyle w:val="TextBody"/>
        <w:bidi w:val="0"/>
        <w:spacing w:lineRule="auto" w:line="288" w:before="240" w:after="283"/>
        <w:jc w:val="left"/>
        <w:rPr/>
      </w:pPr>
      <w:r>
        <w:rPr>
          <w:rFonts w:ascii="Times New Roman;sans-serif" w:hAnsi="Times New Roman;sans-serif"/>
          <w:b w:val="false"/>
          <w:color w:val="000000"/>
          <w:sz w:val="20"/>
        </w:rPr>
        <w:t>In order for a conventional corticosteroid to achieve these characteristics, the drug must be dosed frequently, typically daily. Long-term daily dosing regimens sufficient to</w:t>
      </w:r>
      <w:r>
        <w:rPr>
          <w:color w:val="000000"/>
        </w:rPr>
        <w:t xml:space="preserve"> </w:t>
      </w:r>
      <w:r>
        <w:rPr>
          <w:rFonts w:ascii="Times New Roman;sans-serif" w:hAnsi="Times New Roman;sans-serif"/>
          <w:b w:val="false"/>
          <w:color w:val="000000"/>
          <w:sz w:val="20"/>
        </w:rPr>
        <w:t>provide efficacy, lead to significant and debilitating long-term adverse effects associated with HPA axis suppression. Corticosteroid therapy without significant long-term safety liabilities would represent a major advancement in the treatment of many chronic diseases where corticosteroids are already known to be beneficial.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before="240" w:after="283"/>
        <w:jc w:val="left"/>
        <w:rPr/>
      </w:pPr>
      <w:r>
        <w:rPr/>
        <w:drawing>
          <wp:inline distT="0" distB="0" distL="0" distR="0">
            <wp:extent cx="6286500" cy="3533775"/>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6286500" cy="35337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Phase 3 Lead Asset – EryDex for the Potential Treatment of A-T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top strategic priority is to complete the Phase 3 clinical trial of EryDex, called NEAT (Neurologic Effects of EryDex on Subjects with A-T; NCT06193200 / IEDAT-04-2022), to evaluate its safety and efficacy for the potential treatment of A-T. We also plan to continue investigating additional indications for EryDex. These priorities include the following activities and corporate milestones: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Initiate our open label extension study in 2024.</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Complete enrollment in our Phase 3 NEAT clinical trial in the first half of 2025.</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Report our Phase 3 NEAT clinical trial top-line results in the fourth quarter of 2025.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Prepare for a U.S. NDA submission in 2026, provided we obtain positive NEAT clinical trial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Pursue potential strategic partnerships to out-license ex-U.S. regional territories to extend operational runway to support potential NDA approval of EryDex, as well as further advance other potential indications.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Pivotal Phase 3 NEAT Clinical Trial of EryDex in Patients with A-T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dosed the first patient with A-T in our Phase 3 NEAT clinical trial in the second quarter of 2024. As of November 13, 2024, we have enrolled 32 patients. NEAT is an international, multi-center, randomized, double-blind, placebo-controlled study to evaluate the neurological effects of EryDex in patients with A-T. To date, we have enrolled seven patients with A-T in the NEAT clinical trial across clinical sites in the U.S., U.K., and European Union and expect NEAT site activation and patient screenings to accelerate over the next quarter. We plan to enroll approximately 86 patients with A-T ages six to nine years old randomized (1:1) between EryDex or placebo, and approximately 20 patients with A-T ages 10 years or older. Participants who complete the full treatment period, complete the study assessments, and provide informed consent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 be eligible to transition to an open label extension program after trial completion. The primary efficacy endpoint for the NEAT clinical trial will be measured by the change from baseline to last visit completion in RmICARS.</w:t>
      </w:r>
    </w:p>
    <w:p>
      <w:pPr>
        <w:pStyle w:val="TextBody"/>
        <w:bidi w:val="0"/>
        <w:spacing w:before="240" w:after="283"/>
        <w:jc w:val="left"/>
        <w:rPr/>
      </w:pPr>
      <w:r>
        <w:rPr/>
        <w:drawing>
          <wp:inline distT="0" distB="0" distL="0" distR="0">
            <wp:extent cx="6286500" cy="1343025"/>
            <wp:effectExtent l="0" t="0" r="0" b="0"/>
            <wp:docPr id="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 descr=""/>
                    <pic:cNvPicPr>
                      <a:picLocks noChangeAspect="1" noChangeArrowheads="1"/>
                    </pic:cNvPicPr>
                  </pic:nvPicPr>
                  <pic:blipFill>
                    <a:blip r:embed="rId3"/>
                    <a:stretch>
                      <a:fillRect/>
                    </a:stretch>
                  </pic:blipFill>
                  <pic:spPr bwMode="auto">
                    <a:xfrm>
                      <a:off x="0" y="0"/>
                      <a:ext cx="6286500" cy="1343025"/>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Regulatory Interactions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pivotal Phase 3 NEAT clinical trial is conducted under an SPA agreement with the U.S. FDA, which should allow for the submission of an NDA following completion of this study, provided we obtain positive results. Additionally, the FDA recently granted Fast Track designation for our EryDex System for the treatment of patients with A-T. The Fast Track designation has been granted based on the potential for EryDex to address a high unmet medical need for patients with A-T. Fast Track designation provides opportunities for frequent interactions with FDA review staff, as well as eligibility for priority review, if relevant criteria are met, and rolling review.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plan would be to submit the NDA in 2026 with expectations to submit a MAA to the EMA shortly thereafter. EryDex has been classified as a drug/device combination product by the U.S. FDA. We anticipate submitting a 505(b)(2) NDA to the FDA, which allows us to rely upon the agency’s prior findings of safety and effectiveness for the active pharmaceutical ingredient, DSP.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EryDex has been granted orphan drug designation for the treatment of A-T from the U.S. FDA and EU EC. The EryDex System’s RCL is a CE marked non-invasive device that allows blood processing at the point of care. The EryKit is a CE marked medical device in accordance with the MDR and the Process Solutions are CE marked in accordance with the MDD.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Prior ATTeST Phase 3 Clinical Trial Results in Patients with A-T</w:t>
      </w:r>
    </w:p>
    <w:p>
      <w:pPr>
        <w:pStyle w:val="TextBody"/>
        <w:bidi w:val="0"/>
        <w:spacing w:lineRule="auto" w:line="288" w:before="240" w:after="283"/>
        <w:jc w:val="left"/>
        <w:rPr/>
      </w:pPr>
      <w:r>
        <w:rPr>
          <w:rFonts w:ascii="Times New Roman;sans-serif" w:hAnsi="Times New Roman;sans-serif"/>
          <w:b w:val="false"/>
          <w:color w:val="000000"/>
          <w:sz w:val="20"/>
        </w:rPr>
        <w:t>We gained valuable learnings from the prior Phase 3 clinical trial of EryDex, called ATTeST (</w:t>
      </w:r>
      <w:r>
        <w:rPr>
          <w:rFonts w:ascii="Times New Roman;sans-serif" w:hAnsi="Times New Roman;sans-serif"/>
          <w:b/>
          <w:color w:val="000000"/>
          <w:sz w:val="20"/>
        </w:rPr>
        <w:t>A</w:t>
      </w:r>
      <w:r>
        <w:rPr>
          <w:rFonts w:ascii="Times New Roman;sans-serif" w:hAnsi="Times New Roman;sans-serif"/>
          <w:b w:val="false"/>
          <w:color w:val="000000"/>
          <w:sz w:val="20"/>
        </w:rPr>
        <w:t>taxia-</w:t>
      </w:r>
      <w:r>
        <w:rPr>
          <w:rFonts w:ascii="Times New Roman;sans-serif" w:hAnsi="Times New Roman;sans-serif"/>
          <w:b/>
          <w:color w:val="000000"/>
          <w:sz w:val="20"/>
        </w:rPr>
        <w:t>T</w:t>
      </w:r>
      <w:r>
        <w:rPr>
          <w:rFonts w:ascii="Times New Roman;sans-serif" w:hAnsi="Times New Roman;sans-serif"/>
          <w:b w:val="false"/>
          <w:color w:val="000000"/>
          <w:sz w:val="20"/>
        </w:rPr>
        <w:t xml:space="preserve">elangiectasia </w:t>
      </w:r>
      <w:r>
        <w:rPr>
          <w:rFonts w:ascii="Times New Roman;sans-serif" w:hAnsi="Times New Roman;sans-serif"/>
          <w:b/>
          <w:color w:val="000000"/>
          <w:sz w:val="20"/>
        </w:rPr>
        <w:t>T</w:t>
      </w:r>
      <w:r>
        <w:rPr>
          <w:rFonts w:ascii="Times New Roman;sans-serif" w:hAnsi="Times New Roman;sans-serif"/>
          <w:b w:val="false"/>
          <w:color w:val="000000"/>
          <w:sz w:val="20"/>
        </w:rPr>
        <w:t xml:space="preserve">rial with the </w:t>
      </w:r>
      <w:r>
        <w:rPr>
          <w:rFonts w:ascii="Times New Roman;sans-serif" w:hAnsi="Times New Roman;sans-serif"/>
          <w:b/>
          <w:color w:val="000000"/>
          <w:sz w:val="20"/>
        </w:rPr>
        <w:t>E</w:t>
      </w:r>
      <w:r>
        <w:rPr>
          <w:rFonts w:ascii="Times New Roman;sans-serif" w:hAnsi="Times New Roman;sans-serif"/>
          <w:b w:val="false"/>
          <w:color w:val="000000"/>
          <w:sz w:val="20"/>
        </w:rPr>
        <w:t>ryDex</w:t>
      </w:r>
      <w:r>
        <w:rPr>
          <w:rFonts w:ascii="Times New Roman;sans-serif" w:hAnsi="Times New Roman;sans-serif"/>
          <w:b/>
          <w:color w:val="000000"/>
          <w:sz w:val="20"/>
        </w:rPr>
        <w:t>S</w:t>
      </w:r>
      <w:r>
        <w:rPr>
          <w:rFonts w:ascii="Times New Roman;sans-serif" w:hAnsi="Times New Roman;sans-serif"/>
          <w:b w:val="false"/>
          <w:color w:val="000000"/>
          <w:sz w:val="20"/>
        </w:rPr>
        <w:t>ys</w:t>
      </w:r>
      <w:r>
        <w:rPr>
          <w:rFonts w:ascii="Times New Roman;sans-serif" w:hAnsi="Times New Roman;sans-serif"/>
          <w:b/>
          <w:color w:val="000000"/>
          <w:sz w:val="20"/>
        </w:rPr>
        <w:t>T</w:t>
      </w:r>
      <w:r>
        <w:rPr>
          <w:rFonts w:ascii="Times New Roman;sans-serif" w:hAnsi="Times New Roman;sans-serif"/>
          <w:b w:val="false"/>
          <w:color w:val="000000"/>
          <w:sz w:val="20"/>
        </w:rPr>
        <w:t>em; NCT02770807 / IEDAT-02-2015),</w:t>
      </w:r>
      <w:r>
        <w:rPr>
          <w:color w:val="000000"/>
        </w:rPr>
        <w:t xml:space="preserve"> </w:t>
      </w:r>
      <w:r>
        <w:rPr>
          <w:rFonts w:ascii="Times New Roman;sans-serif" w:hAnsi="Times New Roman;sans-serif"/>
          <w:b w:val="false"/>
          <w:color w:val="000000"/>
          <w:sz w:val="20"/>
        </w:rPr>
        <w:t>which is the largest global clinical trial of patients with A-T.</w:t>
      </w:r>
    </w:p>
    <w:p>
      <w:pPr>
        <w:pStyle w:val="TextBody"/>
        <w:bidi w:val="0"/>
        <w:spacing w:lineRule="auto" w:line="288" w:before="240" w:after="283"/>
        <w:jc w:val="left"/>
        <w:rPr/>
      </w:pPr>
      <w:r>
        <w:rPr>
          <w:rFonts w:ascii="Times New Roman;sans-serif" w:hAnsi="Times New Roman;sans-serif"/>
          <w:b w:val="false"/>
          <w:color w:val="000000"/>
          <w:sz w:val="20"/>
        </w:rPr>
        <w:t xml:space="preserve">ATTeST was an international, multicenter, randomized, double-blind, placebo-controlled, Phase 3 clinical trial of patients ages six years and older. A review of the data suggests that treating patients early can be an important factor in A-T because the rate of neurological deterioration is most pronounced between the ages of six to nine years old. The objective of ATTeST was to evaluate the effect of two doses (Low Dose and High Dose DSP/infusion) of EryDex, compared to placebo, on central nervous system symptoms in subjects with A-T. </w:t>
      </w:r>
      <w:r>
        <w:rPr>
          <w:rFonts w:ascii="Times New Roman;sans-serif" w:hAnsi="Times New Roman;sans-serif"/>
          <w:b w:val="false"/>
          <w:color w:val="333333"/>
          <w:sz w:val="20"/>
        </w:rPr>
        <w:t>The initial treatment period was six months</w:t>
      </w:r>
      <w:r>
        <w:rPr>
          <w:rFonts w:ascii="Times New Roman;sans-serif" w:hAnsi="Times New Roman;sans-serif"/>
          <w:b w:val="false"/>
          <w:color w:val="000000"/>
          <w:sz w:val="20"/>
        </w:rPr>
        <w:t xml:space="preserve">. All participants who completed efficacy assessments over the initial six months were eligible to continue in an additional six-month, double blind, placebo-controlled treatment designed to collect longer-term safety and efficacy data. There were 176 patients randomized (1:1:1) between Low Dose (mean of 8.2 mg ± standard deviation of 3.3 mg), High Dose (mean of 17.4 mg ± standard deviation of 5.4 mg), and placebo. Participants received monthly doses for 12 months. At time points of month six and nine, one-third of participants on placebo switched to active drug, respectively. All participants who completed treatment in the ATTeST study were subsequently eligible to enroll in an open-label extension study (NCT03563053 / IEDAT-03-2018; OLE-IEDAT) with 104 participants receiving High Dose EryDex.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efficacy endpoint of ATTeST was change in neurological symptoms from baseline to month six measured by mICARS (modified version of ICARS) comparing EryDex active arms and the placebo control arm using a mixed model repeated measures analysis. The ICARS was developed to quantify the level of impairment as a result of ataxia related to hereditary ataxias. The key secondary efficacy endpoint of ATTeST was the change in global clinical status from baseline until month six as measured by the CGI-C. The safety objective was to evaluate the safety and tolerability of two dose levels of EryDex compared to placebo based on the occurrence of treatment-emergent AEs over the 12-month double-blind study duration.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Dose EryDex missed the primary efficacy endpoint with a p-value of 0.077 however, statistical significance was observed in the per protocol (PP) analysis with a p-value of 0.019. Most of the clinical signs of neurodegeneration are observed in patients with A-T before the age of 10. By the age of 12, the vast majority of patients with A-T have become non-ambulatory and the neurological signs of disease progression slow significantly since most of the lower limb neuronal damage has already occurred. mICARS is focused on lower limb movement and published natural history data suggest two distinctive regression patterns between patients ages six to nine and 10 years or older with rapid neurological deterioration in the younger age group (six to nine years) compared to a much slower deterioration in older patients (10 years or older), many of whom are non-ambulatory. These data underpin the treatment effect in the patient population where neurodegeneration is most pronounced. Subgroup analyses were performed in the six to nine year old subgroup in the mITT population and there was a statistically significant difference for mICARS in the High Dose group as compared to placebo.</w:t>
      </w:r>
    </w:p>
    <w:p>
      <w:pPr>
        <w:pStyle w:val="TextBody"/>
        <w:bidi w:val="0"/>
        <w:spacing w:before="240" w:after="283"/>
        <w:jc w:val="left"/>
        <w:rPr/>
      </w:pPr>
      <w:r>
        <w:rPr/>
        <w:drawing>
          <wp:inline distT="0" distB="0" distL="0" distR="0">
            <wp:extent cx="6286500" cy="29813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
                    <a:stretch>
                      <a:fillRect/>
                    </a:stretch>
                  </pic:blipFill>
                  <pic:spPr bwMode="auto">
                    <a:xfrm>
                      <a:off x="0" y="0"/>
                      <a:ext cx="6286500" cy="2981325"/>
                    </a:xfrm>
                    <a:prstGeom prst="rect">
                      <a:avLst/>
                    </a:prstGeom>
                  </pic:spPr>
                </pic:pic>
              </a:graphicData>
            </a:graphic>
          </wp:inline>
        </w:drawing>
      </w:r>
    </w:p>
    <w:p>
      <w:pPr>
        <w:pStyle w:val="TextBody"/>
        <w:bidi w:val="0"/>
        <w:spacing w:before="240" w:after="283"/>
        <w:jc w:val="left"/>
        <w:rPr/>
      </w:pPr>
      <w:r>
        <w:rPr/>
        <w:drawing>
          <wp:inline distT="0" distB="0" distL="0" distR="0">
            <wp:extent cx="6286500" cy="286702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5"/>
                    <a:stretch>
                      <a:fillRect/>
                    </a:stretch>
                  </pic:blipFill>
                  <pic:spPr bwMode="auto">
                    <a:xfrm>
                      <a:off x="0" y="0"/>
                      <a:ext cx="6286500" cy="2867025"/>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ATTeST clinical trial, EryDex treatment was well tolerated with only mild to moderate transient AEs that rapidly resolved without medical intervention in all dose groups. No patterns of clinically relevant AEs were observed. Additionally, there were no clear, clinically significant differences in potential corticosteroid-induced side effects observed between the treated and placebo groups, including adrenal insufficiency, cushingoid appearance, osteoporosis, growth and development through puberty, and serious systemic infections.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before="240" w:after="20"/>
        <w:jc w:val="left"/>
        <w:rPr/>
      </w:pPr>
      <w:r>
        <w:rPr/>
        <w:drawing>
          <wp:inline distT="0" distB="0" distL="0" distR="0">
            <wp:extent cx="6115050" cy="2886075"/>
            <wp:effectExtent l="0" t="0" r="0" b="0"/>
            <wp:docPr id="4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 descr=""/>
                    <pic:cNvPicPr>
                      <a:picLocks noChangeAspect="1" noChangeArrowheads="1"/>
                    </pic:cNvPicPr>
                  </pic:nvPicPr>
                  <pic:blipFill>
                    <a:blip r:embed="rId6"/>
                    <a:stretch>
                      <a:fillRect/>
                    </a:stretch>
                  </pic:blipFill>
                  <pic:spPr bwMode="auto">
                    <a:xfrm>
                      <a:off x="0" y="0"/>
                      <a:ext cx="6115050" cy="28860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since inception have consisted primarily of R&amp;D activities and G&amp;A costs.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Expenses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expenses incurred in connection with the research and development of our research programs. These expenses include payroll and personnel expenses, including stock-based compensation, for our research and product development employees, laboratory supplies, product licenses, consulting costs, contract research, regulatory, quality assurance, preclinical and clinical expenses, allocated rent, facilities costs and depreciation. We expense both internal and external research and development costs as they are incurred. Non-refundable advance payments and deposits for services that will be used or rendered for future research and development activities are recorded as prepaid expenses and recognized as an expense as the related services are performed.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research and development expenses have supported the advancement of atuzaginstat (COR388) and COR588 and to a lesser extent the clinical and regulatory development of NOV004. As we sold our legacy protease inhibitor portfolio including COR388 and COR588 to Lighthouse Pharmaceuticals, Inc. in January 2023, we did not incur any additional expenses related to these legacy assets from the second quarter of 2023 onward. Additionally, due to the decision made on January 30, 2023 to discontinue internal development of NOV004 and following the termination of the License Agreement with PRF on October 31, 2023, we have not and do not expect to incur any NOV004 costs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the acquisition of EryDel, we expect our research and development expenses to remain in the current levels as we continue our Phase 3 NEAT clinical trial and potentially expand into new indications.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principally of personnel-related costs, including payroll and stock-based compensation, for personnel in executive, finance, human resources, business and corporate development, and other administrative functions, professional fees for legal, consulting, insurance and accounting services, allocated rent and other facilities costs, depreciation, and other general operating expenses not otherwise classified as research and development expenses.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Adjustment for Contingent Consideration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 fair value adjustment for contingent consideration primarily due to the passage of time related to the contingent consideration earnout resulting from the EryDel Acquisition. Changes in the fair value of the contingent consideration obligations may result from changes in probability assumptions with respect to the likelihood of achieving the various contingent payment obligations.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Adjustment for Long-term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 fair value adjustment for long-term debt primarily due to the passage of time and the interest accrued for the loan with the EIB.</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 consists primarily of interest earned on our short-term and long-term investments portfolio.</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primarily of the effects of foreign currency exchange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consolidated financial statements, which have been prepared in accordance with U.S. generally accepted accounting principles (“GAAP”). The preparation of these unaudited condensed consolidated financial statements requires us to make estimates and assumptions that affect the reported amounts. Actual results may differ from these estimates under different assumptions or conditions. There were no material changes to our critical accounting policies in the three months ended September 30, 2024 from those described in “Management’s Discussion and Analysis of Financial Condition and Results of Operations,”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2024 to the three months ended September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our results of operations for the three months ended September 30, 2024 and 2023 (in thousands, except for percentages):</w:t>
      </w:r>
    </w:p>
    <w:tbl>
      <w:tblPr>
        <w:tblW w:w="9357" w:type="dxa"/>
        <w:jc w:val="left"/>
        <w:tblInd w:w="0" w:type="dxa"/>
        <w:tblLayout w:type="fixed"/>
        <w:tblCellMar>
          <w:top w:w="28" w:type="dxa"/>
          <w:left w:w="28" w:type="dxa"/>
          <w:bottom w:w="28" w:type="dxa"/>
          <w:right w:w="28" w:type="dxa"/>
        </w:tblCellMar>
      </w:tblPr>
      <w:tblGrid>
        <w:gridCol w:w="1531"/>
        <w:gridCol w:w="1346"/>
        <w:gridCol w:w="1352"/>
        <w:gridCol w:w="241"/>
        <w:gridCol w:w="790"/>
        <w:gridCol w:w="124"/>
        <w:gridCol w:w="124"/>
        <w:gridCol w:w="124"/>
        <w:gridCol w:w="124"/>
        <w:gridCol w:w="241"/>
        <w:gridCol w:w="790"/>
        <w:gridCol w:w="124"/>
        <w:gridCol w:w="109"/>
        <w:gridCol w:w="109"/>
        <w:gridCol w:w="109"/>
        <w:gridCol w:w="211"/>
        <w:gridCol w:w="616"/>
        <w:gridCol w:w="109"/>
        <w:gridCol w:w="109"/>
        <w:gridCol w:w="109"/>
        <w:gridCol w:w="109"/>
        <w:gridCol w:w="269"/>
        <w:gridCol w:w="271"/>
        <w:gridCol w:w="316"/>
      </w:tblGrid>
      <w:tr>
        <w:trPr/>
        <w:tc>
          <w:tcPr>
            <w:tcW w:w="153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Change</w:t>
            </w:r>
            <w:r>
              <w:rPr>
                <w:color w:val="000000"/>
                <w:shd w:fill="FFFFFF" w:val="clear"/>
              </w:rPr>
              <w:t xml:space="preserve"> </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w:t>
            </w:r>
            <w:r>
              <w:rPr>
                <w:color w:val="000000"/>
                <w:shd w:fill="FFFFFF" w:val="clear"/>
              </w:rPr>
              <w:t xml:space="preserve"> </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 for contingent consideration</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 for long-term debt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 benefit</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pPr>
      <w:r>
        <w:rPr>
          <w:rFonts w:ascii="Times New Roman;sans-serif" w:hAnsi="Times New Roman;sans-serif"/>
          <w:b/>
          <w:i/>
          <w:color w:val="000000"/>
          <w:sz w:val="20"/>
        </w:rPr>
        <w:t xml:space="preserve">Research and Development Expenses </w:t>
      </w:r>
      <w:r>
        <w:rPr>
          <w:rFonts w:ascii="Times New Roman;sans-serif" w:hAnsi="Times New Roman;sans-serif"/>
          <w:b w:val="false"/>
          <w:i/>
          <w:color w:val="000000"/>
          <w:sz w:val="20"/>
        </w:rPr>
        <w:t>(in thousands, except for percentages):</w:t>
      </w:r>
    </w:p>
    <w:tbl>
      <w:tblPr>
        <w:tblW w:w="9794" w:type="dxa"/>
        <w:jc w:val="left"/>
        <w:tblInd w:w="0" w:type="dxa"/>
        <w:tblLayout w:type="fixed"/>
        <w:tblCellMar>
          <w:top w:w="28" w:type="dxa"/>
          <w:left w:w="28" w:type="dxa"/>
          <w:bottom w:w="28" w:type="dxa"/>
          <w:right w:w="28" w:type="dxa"/>
        </w:tblCellMar>
      </w:tblPr>
      <w:tblGrid>
        <w:gridCol w:w="1692"/>
        <w:gridCol w:w="1483"/>
        <w:gridCol w:w="1490"/>
        <w:gridCol w:w="257"/>
        <w:gridCol w:w="752"/>
        <w:gridCol w:w="133"/>
        <w:gridCol w:w="133"/>
        <w:gridCol w:w="133"/>
        <w:gridCol w:w="133"/>
        <w:gridCol w:w="257"/>
        <w:gridCol w:w="752"/>
        <w:gridCol w:w="133"/>
        <w:gridCol w:w="109"/>
        <w:gridCol w:w="109"/>
        <w:gridCol w:w="109"/>
        <w:gridCol w:w="211"/>
        <w:gridCol w:w="616"/>
        <w:gridCol w:w="109"/>
        <w:gridCol w:w="109"/>
        <w:gridCol w:w="109"/>
        <w:gridCol w:w="109"/>
        <w:gridCol w:w="269"/>
        <w:gridCol w:w="271"/>
        <w:gridCol w:w="316"/>
      </w:tblGrid>
      <w:tr>
        <w:trPr/>
        <w:tc>
          <w:tcPr>
            <w:tcW w:w="169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Change</w:t>
            </w:r>
            <w:r>
              <w:rPr>
                <w:color w:val="000000"/>
                <w:shd w:fill="FFFFFF" w:val="clear"/>
              </w:rPr>
              <w:t xml:space="preserve"> </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w:t>
            </w:r>
            <w:r>
              <w:rPr>
                <w:color w:val="000000"/>
                <w:shd w:fill="FFFFFF" w:val="clear"/>
              </w:rPr>
              <w:t xml:space="preserve"> </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expenses:</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EryDex</w:t>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direct research costs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research and development expenses: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(including stock-based compensation)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research and development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$4.9 million for the three months ended September 30, 2024, compared to $1.4 million for the three months ended September 30, 2023, an increase of $3.5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costs for EryDex development increased by $3.2 million in the three months ended September 30, 2024 compared to the same period from the prior year due to the initiation of the Phase 3 NEAT clinical trial. This increase was primarily due to clinical trial costs of $2.9 million and $0.3 million manufacturing costs.</w:t>
      </w:r>
    </w:p>
    <w:p>
      <w:pPr>
        <w:pStyle w:val="TextBody"/>
        <w:bidi w:val="0"/>
        <w:spacing w:lineRule="auto" w:line="288" w:before="240" w:after="283"/>
        <w:jc w:val="left"/>
        <w:rPr/>
      </w:pPr>
      <w:r>
        <w:rPr>
          <w:rFonts w:ascii="Times New Roman;sans-serif" w:hAnsi="Times New Roman;sans-serif"/>
          <w:b w:val="false"/>
          <w:color w:val="000000"/>
          <w:sz w:val="20"/>
        </w:rPr>
        <w:t>Our personnel related costs increased by $0.3 million</w:t>
      </w:r>
      <w:r>
        <w:rPr>
          <w:color w:val="000000"/>
        </w:rPr>
        <w:t xml:space="preserve"> </w:t>
      </w:r>
      <w:r>
        <w:rPr>
          <w:rFonts w:ascii="Times New Roman;sans-serif" w:hAnsi="Times New Roman;sans-serif"/>
          <w:b w:val="false"/>
          <w:color w:val="000000"/>
          <w:sz w:val="20"/>
        </w:rPr>
        <w:t>during the three months ended September 30, 2024 as compared to the three months ended September 30, 2023, mainly as a result of an increase in personnel related expenses due to higher employee headcount compared to September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research and development expenses increased by $31.0 thousand for the three months ended September 30, 2024, as compared to the three months ended September 30, 2023 primarily due to an increase in rent and facilities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by $1.03 million to $3.63 million for the three months ended September 30, 2024, from $4.66 million for the three months ended September 30, 2023. The decrease in general and administrative expenses is primarily due to a decrease of $0.9 million in consulting and professional fees, $0.5 million decrease in legal fees, and $0.1 million decrease in corporate insurance. These decreases were partially offset by an increase of $0.1 million in personnel related expenses, $0.1 million increase in audit and tax fees, $0.1 million increase in commercial and new product planning expenses, and $0.1 million increase in other professional and administrative expenses year over year.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Adjustment for Contingent Consideration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we recorded a fair value adjustment for contingent consideration which resulted in a $2.7 million charge primarily due to the passage of time related to the contingent consideration earnouts resulting from the EryDel Acquisition and achieving and paying the first milestone after dosing the first patient in our Phase 3 NEAT clinical trial.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Adjustment for Long-term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we recorded a fair value adjustment for long-term debt which resulted in a $0.4 million charge primarily due to the passage of time and the interest accrued for the loan with the EIB.</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decreased by $276.0 thousand for the three months ended September 30, 2024, as compared to the three months ended September 30, 2023. The change was due to a decreased yields on our investment portfolio which and decreased average balances.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by $0.4 million for the three months ended September 30, 2024 primarily due to $0.3 million unrealized gains resulting from changes in foreign exchange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tax expense of $13.0 thousand for the three months ended September 30, 2024, primarily related to foreign withholding tax, interest on uncertain tax position liability and net of tax benefit from decrease in EryDel's deferred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2024 to the nine months ended September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our results of operations for the nine months ended September 30, 2024 and 2023 (in thousands, except for percentages):</w:t>
      </w:r>
    </w:p>
    <w:tbl>
      <w:tblPr>
        <w:tblW w:w="9448" w:type="dxa"/>
        <w:jc w:val="left"/>
        <w:tblInd w:w="0" w:type="dxa"/>
        <w:tblLayout w:type="fixed"/>
        <w:tblCellMar>
          <w:top w:w="28" w:type="dxa"/>
          <w:left w:w="28" w:type="dxa"/>
          <w:bottom w:w="28" w:type="dxa"/>
          <w:right w:w="28" w:type="dxa"/>
        </w:tblCellMar>
      </w:tblPr>
      <w:tblGrid>
        <w:gridCol w:w="1532"/>
        <w:gridCol w:w="1346"/>
        <w:gridCol w:w="1352"/>
        <w:gridCol w:w="214"/>
        <w:gridCol w:w="807"/>
        <w:gridCol w:w="110"/>
        <w:gridCol w:w="110"/>
        <w:gridCol w:w="110"/>
        <w:gridCol w:w="110"/>
        <w:gridCol w:w="214"/>
        <w:gridCol w:w="807"/>
        <w:gridCol w:w="110"/>
        <w:gridCol w:w="109"/>
        <w:gridCol w:w="109"/>
        <w:gridCol w:w="109"/>
        <w:gridCol w:w="211"/>
        <w:gridCol w:w="796"/>
        <w:gridCol w:w="109"/>
        <w:gridCol w:w="109"/>
        <w:gridCol w:w="109"/>
        <w:gridCol w:w="109"/>
        <w:gridCol w:w="269"/>
        <w:gridCol w:w="271"/>
        <w:gridCol w:w="316"/>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5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Change</w:t>
            </w:r>
            <w:r>
              <w:rPr>
                <w:color w:val="000000"/>
                <w:shd w:fill="FFFFFF" w:val="clear"/>
              </w:rPr>
              <w:t xml:space="preserve"> </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w:t>
            </w:r>
            <w:r>
              <w:rPr>
                <w:color w:val="000000"/>
                <w:shd w:fill="FFFFFF" w:val="clear"/>
              </w:rPr>
              <w:t xml:space="preserve">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impairment charge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 for contingent consideration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 for long-term debt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 benefit</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(44,370)</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(22,491)</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pPr>
      <w:r>
        <w:rPr>
          <w:rFonts w:ascii="Times New Roman;sans-serif" w:hAnsi="Times New Roman;sans-serif"/>
          <w:b/>
          <w:i/>
          <w:color w:val="000000"/>
          <w:sz w:val="20"/>
        </w:rPr>
        <w:t xml:space="preserve">Research and Development Expenses </w:t>
      </w:r>
      <w:r>
        <w:rPr>
          <w:rFonts w:ascii="Times New Roman;sans-serif" w:hAnsi="Times New Roman;sans-serif"/>
          <w:b w:val="false"/>
          <w:i/>
          <w:color w:val="000000"/>
          <w:sz w:val="20"/>
        </w:rPr>
        <w:t>(in thousands, except for percentages):</w:t>
      </w:r>
    </w:p>
    <w:tbl>
      <w:tblPr>
        <w:tblW w:w="9701" w:type="dxa"/>
        <w:jc w:val="left"/>
        <w:tblInd w:w="0" w:type="dxa"/>
        <w:tblLayout w:type="fixed"/>
        <w:tblCellMar>
          <w:top w:w="28" w:type="dxa"/>
          <w:left w:w="28" w:type="dxa"/>
          <w:bottom w:w="28" w:type="dxa"/>
          <w:right w:w="28" w:type="dxa"/>
        </w:tblCellMar>
      </w:tblPr>
      <w:tblGrid>
        <w:gridCol w:w="1692"/>
        <w:gridCol w:w="1483"/>
        <w:gridCol w:w="1490"/>
        <w:gridCol w:w="237"/>
        <w:gridCol w:w="812"/>
        <w:gridCol w:w="122"/>
        <w:gridCol w:w="122"/>
        <w:gridCol w:w="122"/>
        <w:gridCol w:w="122"/>
        <w:gridCol w:w="237"/>
        <w:gridCol w:w="694"/>
        <w:gridCol w:w="122"/>
        <w:gridCol w:w="109"/>
        <w:gridCol w:w="109"/>
        <w:gridCol w:w="109"/>
        <w:gridCol w:w="211"/>
        <w:gridCol w:w="616"/>
        <w:gridCol w:w="109"/>
        <w:gridCol w:w="109"/>
        <w:gridCol w:w="109"/>
        <w:gridCol w:w="109"/>
        <w:gridCol w:w="269"/>
        <w:gridCol w:w="271"/>
        <w:gridCol w:w="316"/>
      </w:tblGrid>
      <w:tr>
        <w:trPr/>
        <w:tc>
          <w:tcPr>
            <w:tcW w:w="169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5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Change</w:t>
            </w:r>
            <w:r>
              <w:rPr>
                <w:color w:val="000000"/>
                <w:shd w:fill="FFFFFF" w:val="clear"/>
              </w:rPr>
              <w:t xml:space="preserve"> </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shd w:fill="FFFFFF" w:val="clear"/>
              </w:rPr>
              <w:t>%</w:t>
            </w:r>
            <w:r>
              <w:rPr>
                <w:color w:val="000000"/>
                <w:shd w:fill="FFFFFF" w:val="clear"/>
              </w:rPr>
              <w:t xml:space="preserve"> </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EryDex</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NOV004</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direct research costs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research and development expenses:</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(including stock-based compensation)</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research and development expenses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$12.8 million for the nine months ended September 30, 2024, compared to $6.0 million for the nine months ended September 30, 2023, an increase of $6.8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pPr>
      <w:r>
        <w:rPr>
          <w:rFonts w:ascii="Times New Roman;sans-serif" w:hAnsi="Times New Roman;sans-serif"/>
          <w:b w:val="false"/>
          <w:color w:val="000000"/>
          <w:sz w:val="20"/>
        </w:rPr>
        <w:t>The costs for EryDex development increased by $8.9 million</w:t>
      </w:r>
      <w:r>
        <w:rPr>
          <w:color w:val="000000"/>
        </w:rPr>
        <w:t xml:space="preserve"> </w:t>
      </w:r>
      <w:r>
        <w:rPr>
          <w:rFonts w:ascii="Times New Roman;sans-serif" w:hAnsi="Times New Roman;sans-serif"/>
          <w:b w:val="false"/>
          <w:color w:val="000000"/>
          <w:sz w:val="20"/>
        </w:rPr>
        <w:t>compared to the same period from the prior year due to the start-up and ramping up costs related to our Phase 3 NEAT clinical trial. This increase was primarily due to clinical trial costs of $8.1 million and $0.8 million in manufacturing costs.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After the decision made on January 30, 2023 to discontinue internal development of NOV004 and following the termination of the License Agreement with PRF on October 31, 2023, we have not and do not expect to incur any NOV004 costs in 2024.</w:t>
      </w:r>
    </w:p>
    <w:p>
      <w:pPr>
        <w:pStyle w:val="TextBody"/>
        <w:bidi w:val="0"/>
        <w:spacing w:lineRule="auto" w:line="288" w:before="240" w:after="283"/>
        <w:jc w:val="left"/>
        <w:rPr/>
      </w:pPr>
      <w:r>
        <w:rPr>
          <w:rFonts w:ascii="Times New Roman;sans-serif" w:hAnsi="Times New Roman;sans-serif"/>
          <w:b w:val="false"/>
          <w:color w:val="000000"/>
          <w:sz w:val="20"/>
        </w:rPr>
        <w:t>Our personnel related costs decreased by $0.1 million</w:t>
      </w:r>
      <w:r>
        <w:rPr>
          <w:color w:val="000000"/>
        </w:rPr>
        <w:t xml:space="preserve"> </w:t>
      </w:r>
      <w:r>
        <w:rPr>
          <w:rFonts w:ascii="Times New Roman;sans-serif" w:hAnsi="Times New Roman;sans-serif"/>
          <w:b w:val="false"/>
          <w:color w:val="000000"/>
          <w:sz w:val="20"/>
        </w:rPr>
        <w:t>during the nine months ended September 30, 2024 as compared to the nine months ended September 30, 2023, mainly as a result of a $0.6 million decrease in allocated stock-based compensation costs, offset by a $0.5 million increase in personnel related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research and development expenses increased by $43.0 thousand for the nine months ended September 30, 2024, as compared to the nine months ended September 30, 2023 primarily due to an increase in rent and facilities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$0.5 million to $13.3 million for the nine months ended September 30, 2024, from $12.8 million for the nine months ended September 30, 2023. The increase in general and administrative expenses is primarily due to an increase of $1.9 million in personnel related expenses, $0.2 million increase in commercial and new product planning expenses, $0.2 million increase in audit and tax fees, and $0.6 million increase in other professional and administrative expenses year over year. These increases were partially offset by a decrease of 1.5 million in legal fees, $0.7 million in consulting and professional fees expenses, and $0.2 million in corporate insurance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Adjustment for Contingent Consideration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we recorded a fair value adjustment for contingent consideration which resulted in a $2.1 million charge primarily due to the passage of time related to the contingent consideration earnouts resulting from the EryDel Acquisition and achieving and paying the first milestone after dosing the first patient in our Phase 3 NEAT clinical trial.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Adjustment for Long-term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we recorded a fair value adjustment for long-term debt which resulted in a $1.3 million charge primarily due to the passage of time and the interest accrued for the loan with the EIB.</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 Impairment Charge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conducted an impairment analysis of our goodwill that resulted from the acquisition of EryDel in October 2023. That assessment included a qualitative assessment of deteriorating macro-economic conditions, including inflationary pressures and high interest rates, and the continuing decline in our market capitalization from the date of the acquisition. This qualitative assessment indicated that our goodwill was potentially impaired. To determine the extent, if any, by which our goodwill was impaired, we conducted additional quantitative analyses which resulted in our fair value being significantly below our current carrying value. As a result of the analyses, we recorded a non-cash goodwill impairment charge of $17.1 million for the nine months ended September 30,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Impairment Charge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conducted an impairment analysis of our intangible asset IPR&amp;D that resulted from the purchase of Novosteo, Inc. in May 2022. To determine the extent, if any, by which our IPR&amp;D Intangible Asset was impaired, we conducted a quantitative analysis which resulted in our fair value being significantly below our current carrying value due to the assumptions changing as a result of the decision to hold this asset for sale in January 2023. As a result of the analyses, we recorded a non-cash intangible asset IPR&amp;D impairment charge of $5.9 million for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decreased by $0.1 million for the nine months ended September 30, 2024, as compared to the nine months ended September 30, 2023. The change was due to decreased yields on our investment portfolio and decreased average balances.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by $0.3 million for the nine months ended September 30, 2024 primarily due to unrealized gains resulting from changes in foreign exchange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tax expense of $0.1 million for the nine months ended September 30, 2024 and tax benefit of $0.2 million for the nine months ended September 30, 2023. The change is primarily related to foreign withholding tax, interest on uncertain tax position liability and net of tax benefit from decrease in EryDel's deferred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commencing material operations in 2014, we have devoted substantially all of our efforts and financial resources to building our research and development capabilities, establishing our corporate infrastructure and most recently, executing our Phase1a, Phase 1b and Phase 2/3 clinical trials of atuzaginstat (COR388), our Phase I SAD/MAD clinical trial of COR588, to a lesser extent readying NOV004 for Phase 1 clinical trial, and initiating EryDex Phase 3 NEAT clinical trial. We have sold our legacy small molecule protease inhibitor portfolio and terminated the license of our NOV004 bone targeting drug.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have never been profitable. We have incurred net losses since the commencement of our operations. As of September 30, 2024, we had an accumulated deficit of $364.0 million. We incurred a net loss of $44.4 million in the nine months ended September 30, 2024. We do not expect to generate product revenue unless and until we obtain marketing approval for and commercialize a drug candidate, and we cannot assure you that we will ever generate significant revenue or profits.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financed our operations primarily through the issuance and sale of convertible promissory notes and redeemable convertible preferred stock and common stock. From inception through September 30, 2024, we received net proceeds of approximately $303.9 million from the issuance of redeemable convertible preferred stock, convertible promissory notes and 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EryDel on October 20, 2023, we assumed an unsecured line of credit between EryDel and the European Investment Bank (the "EIB Loan"). The EIB Loan was amended and restated as of the acquisition date. The EIB Loan provides for maximum borrowings of 30.0 million euro through four tranches; tranche A, 3.0 million euro; tranche B, 7.0 million euro; tranche C, 10.0 million euro; and tranche D, 10.0 million euro. Each tranche is subject to conditions precedent related to our business and capitalization. As of September 30, 2024, only tranches A and B have been drawn. All amounts due under tranche A and B are payable on their maturity date of August 2026. Tranche C and D are payable in equal installments of principal together with all amounts outstanding under the tranches on the repayment dates specified in the relevant Disbursement Offer. The first Repayment Date of tranche C shall fall not earlier than twelve months from the Disbursement Date of such tranche. The last Repayment Date of tranche C and tranche D shall fall not later than 5 years from the Disbursement Date of tranche C and tranche D, respectively. The EIB Loan bears interest at fixed rates for each tranche and is payable on the maturity date for each Tranche. The fixed rates range from 7.0% to 9.0% per annum. As of September 30, 2024, principal of 10.0 million euros ($11.2 million) was outstanding on the EIB Loan and it is recorded as Long-term debt on the condensed consolidated balance sheet at fair value with imputed interest of 9.0% included.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voluntarily prepay, in whole or in part with a prepayment premium. In the event of an occurrence of an event of default, a change in control and certain other prepayment events, as specified in the Debt Agreement, we will be required to prepay the outstanding EIB Debt together with an additional remuneration buyout fee, as specified in the Debt Agreement. The Debt Agreement includes a provision for additional remuneration to be paid in addition to interest. The amount of additional remuneration to be paid is equal to 2.5% of revenue up to 125.0 million euros, plus 1.85% of revenue between 125.0 and 250.0 million euros, plus 1.0% of revenue in excess of 250.0 million euros, multiplied by a varying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how many tranches have been drawn. The varying percentage is equal to 30.0% in the event tranche A has been drawn, 50.0% in the event tranche A and B have been drawn, 80.0% in the event tranche A, B and C have been drawn, and 100.0% in the event all four tranches have been drawn. The additional remuneration is payable for seven years, during the period January 1, 2026, through December 31, 2032. In the event of an occurrence of an event of default or prepayment, we may be required to pay an additional remuneration buyout fee.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Company entered into an amendment (the “Amendment”) of the Debt Agreement with EIB which waives the Minimum Cash Covenant from January 1, 2025 and up to the earlier of December 31, 2025, or the date the Minimum Cash Covenant is restored. Under the terms of the Amendment, the Company agreed to amendments requiring monthly reporting of cash balances and additional limitations on certain permitted acquisitions. Additionally, during the waiver period, the Company agreed to convert 2% of the total 9% deferred interest on Tranches A and B to be payable quarterly, with the first payment due on March 31, 2025, and a one-time fee of 20,000 euros in connection with the Amendment.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have been in compliance with all covenants under the Debt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we had cash, cash equivalents and short-term investments of $47.8 million and $75.1 million, respectively. Based on our current business plans, we believe that our existing capital resources will be sufficient to fund our projected operating requirements for at least the next twelve months from the date of the issuance of the accompanying condensed consolidated financial statements. Our cash, cash equivalents, and marketable debt securities are held in a variety of deposit accounts, interest-bearing accounts, U.S government securities, debt securities in government-sponsored entities, and money market funds. Cash in excess of immediate requirements is invested with a view toward liquidity and capital preservation, and we seek to minimize the potential effects of concentration and credit risk. Our cash equivalents and short-term investments are held in money market funds, certificate of deposits, and government agency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cash equivalents and investments will be sufficient to fund our planned operations into the first quarter of 2026, but does not include any costs or cash expenditures associated with initiating additional programs. We have based this estimate on assumptions that may prove to be wrong, and we could utilize our available capital resources sooner than we expect.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cash is to fund operating expenses, which consist primarily of research and development expenditures related to EryDex, the initiation and continuation of the Phase 3 NEAT clinical trial, and general and administrative expenditures. Cash used to fund operating expenses is impacted by the timing of when we pay these expenses, as reflected in the change in our outstanding accounts payable and accrued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out-licensed our legacy protease inhibitors to Lighthouse and in October 2023 terminated our license for NOV004. We also intend to concentrate our efforts on development of EryDex. Accordingly, we cannot estimate the actual amounts necessary to successfully complete the development and commercialization of any drug candidates or whether, or when, we may achieve profitability.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continue to require additional capital to develop our drug candidates and fund operations for the foreseeable future. We may seek to raise capital through private or public equity or debt financings, collaborative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Following our acquisition of EryDel, we anticipate that we will need to raise substantial additional capital, the requirements of which will depend on many factors,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progress, costs, trial design, results of and timing of our Phase 3 NEAT clinical trial and any potential future trials;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outcome, costs and timing of seeking and obtaining FDA and any other regulatory approvals;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payment of future milestones to EryDel shareholders and payments to the EIB in respect of obligations under the EIB Facility;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number and characteristics of drug candidates that we pursue;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need and ability to retain management and hire scientific and clinical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 of competing drugs and drug candidates and other market developments;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need to implement additional internal systems and infrastructure, including financial and reporting systems;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economic and other terms, timing of and success of any collaboration, licensing or other arrangements into which we may enter in the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to other rights to our drug candidates in certain territories or indications that we would prefer to develop and commercialize ourselves.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raise additional capital may be adversely impacted by potential worsening global economic conditions and the recent disruptions to, and volatility in, the credit and financial markets in the United States and worldwide. However, based on our current business plans, we believe that our existing cash, cash equivalents and investments will be sufficient to fund our planned operations, which would include anticipated clinical and development activities related to EryDex through completion of the Phase 3 NEAT clinical trial, and into 2026, but does not include any costs or cash expenditures associated with initiating additional programs. We have based this estimate on assumptions that may prove to be wrong, and we could utilize our available capital resources sooner than we expect.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primary sources and uses of cash and cash equivalents for each of the periods presented below (in thousands):</w:t>
      </w:r>
    </w:p>
    <w:tbl>
      <w:tblPr>
        <w:tblW w:w="6101" w:type="dxa"/>
        <w:jc w:val="left"/>
        <w:tblInd w:w="0" w:type="dxa"/>
        <w:tblLayout w:type="fixed"/>
        <w:tblCellMar>
          <w:top w:w="28" w:type="dxa"/>
          <w:left w:w="28" w:type="dxa"/>
          <w:bottom w:w="28" w:type="dxa"/>
          <w:right w:w="28" w:type="dxa"/>
        </w:tblCellMar>
      </w:tblPr>
      <w:tblGrid>
        <w:gridCol w:w="1253"/>
        <w:gridCol w:w="1102"/>
        <w:gridCol w:w="1110"/>
        <w:gridCol w:w="213"/>
        <w:gridCol w:w="807"/>
        <w:gridCol w:w="110"/>
        <w:gridCol w:w="110"/>
        <w:gridCol w:w="110"/>
        <w:gridCol w:w="110"/>
        <w:gridCol w:w="213"/>
        <w:gridCol w:w="807"/>
        <w:gridCol w:w="156"/>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(22,947)</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was $24.4 million for the nine months ended September 30, 2024. Cash used in operating activities was primarily due to our net loss of $44.4 million for the period, adjusted for $22.4 million of non-cash items, including $17.1 million goodwill impairment charge, $2.1 million change in the fair value of contingent consideration liabilities, $3.6 million in stock-based compensation, and a net increase in our operating assets of $2.5 million, offset by a net increase in our accounts payable, and accrued expenses and other current liabilities of $0.1 million.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was $12.2 million for the nine months ended September 30, 2023. Cash used in operating activities was primarily due to our net loss of $22.5 million for the period, adjusted for $8.6 million of non-cash items, including $4.1 million in stock-based compensation and $5.9 million in impairment loss due to the write down of the IPR&amp;D asset, as well as a net increase in our current assets of $2.4 million, offset by a net decrease in accounts payable, accrued expenses and other current liabilities of $0.7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40" w:after="283"/>
        <w:jc w:val="left"/>
        <w:rPr/>
      </w:pPr>
      <w:r>
        <w:rPr>
          <w:rFonts w:ascii="Times New Roman;sans-serif" w:hAnsi="Times New Roman;sans-serif"/>
          <w:b w:val="false"/>
          <w:color w:val="000000"/>
          <w:sz w:val="20"/>
        </w:rPr>
        <w:t>Cash provided by investing activities was $11.0 million</w:t>
      </w:r>
      <w:r>
        <w:rPr>
          <w:color w:val="000000"/>
        </w:rPr>
        <w:t xml:space="preserve"> </w:t>
      </w:r>
      <w:r>
        <w:rPr>
          <w:rFonts w:ascii="Times New Roman;sans-serif" w:hAnsi="Times New Roman;sans-serif"/>
          <w:b w:val="false"/>
          <w:color w:val="000000"/>
          <w:sz w:val="20"/>
        </w:rPr>
        <w:t>for the nine months ended September 30, 2024, primarily related to the maturities of short-term investments of $100.7 million, and the purchase of investments of $89.6 million</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investing activities was $11.1 million in the nine months ended September 30, 2023, primarily related to the purchase of investments of $95.1 million, and maturities of investments of $84.5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$4.8 million for the nine months ended September 30, 2024, which consisted of a cash milestone payment of $5 million, partially offset by proceeds of $0.2 million from the exercise of stock options in the period.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was $0.1 million in the nine months ended September 30, 2023, which consisted of net proceeds from the exercise of stock options in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discussed below, there have been no material changes to our contractual obligations and other commitments as of September 30, 2024, as compared to those disclosed in our Annual Report on Form 10-K.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primarily consist of our obligations under non-cancellable operating leases and other purchase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contracts in the normal course of business with third party contract organizations for clinical trials, non-clinical studies and testing, manufacturing, and other services and products for operating purposes. The amount and timing of the payments under these contracts varies based upon the timing of the services. We have recorded accrued expense of approximately $1.5 million in our condensed consolidated balance sheet for expenditures incurred by these vendors as of September 30, 2024. We have approximately $27.5 million in cancellable future operating expense commitments based on existing contracts as of September 30, 2024. These obligations will be satisfied in the normal course of business, but generally no longer than 12 months. As of September 30, 2024, the fair value of the EIB loan is $14.9 million and it is recorded as long-term debt on the condensed consolidated balance sheet at fair value. As of September 30, 2024, the fair value of long-term contingent consideration on our books for the earnout related to the EryDel Acquisition is $54.8 million, refer to Note 3 to the condensed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left"/>
        <w:rPr/>
      </w:pPr>
      <w:r>
        <w:rPr>
          <w:rFonts w:ascii="Times New Roman;sans-serif" w:hAnsi="Times New Roman;sans-serif"/>
          <w:b w:val="false"/>
          <w:color w:val="000000"/>
          <w:sz w:val="20"/>
        </w:rPr>
        <w:t>We are a smaller reporting company as defined by Rule 12b-2 of the Exchange Act, and are not required to provide the information required under this item</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ensure that information required to be disclosed by us in reports that we file or submit under the Exchange Act, is recorded, communicated to our management to allow timely decisions regarding required disclosure, summarized and reported within the time periods specified in the SEC's rules and forms. Any disclosure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the Chief Executive Officer and Principal Financial Officer, we conducted an evaluation of the effectiveness of our disclosure controls and procedures, as such term is defined under Rules 13a-15(e) and 15d-15(e) under the Exchange Act, as of September 30, 2024. Based on that evaluation, the Chief Executive Officer and Principal Financial Officer have concluded that, as of such date, our disclosure controls and procedures were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September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become involved in legal proceedings arising in the ordinary course of business.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for many reasons, including those that are beyond our control, to implement our business strategy successfully. The occurrence of any single risk or any combination of risks could materially and adversely affect our business, financial condition, results of operations, cash flows and the trading price of our common stock. Some of these risks are: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experience difficulties integrating Quince and EryDel’s operations and realizing the expected benefits of the EryDel Acquisition.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substantially dependent on the success of our lead drug candidate, EryDex. The Phase 3 NEAT clinical trial of EryDex for A-T is being conducted under a protocol negotiated with FDA by EryDel and our execution of the trial may be delayed, may not be successful, and may not result in NDA approval, with adverse results for our business and share price.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have no drug candidates approved for commercial sale, we have never generated any revenue from sales, and we may never be profitable.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have and may be required to make additional milestone payments to EryDel shareholders or pursuant to the EIB Facility in connection with our commercialization of EryDex, which could adversely affect the overall profitability of EryDex, if approved.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Clinical drug development is a lengthy, expensive and uncertain process. The results of preclinical studies and early clinical trials are not always predictive of future results. Any drug candidate that we may advance into clinical trials may not achieve favorable results in later clinical trials, if any, or receive marketing approval.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Results in earlier clinical trials may not be indicative of the results that may be obtained in further registrational clinical trials, which may delay or prevent obtaining regulatory approval.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will incur additional costs and may experience delays in completing, or ultimately be unable to complete, the development and commercialization of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drug candidates may cause or have attributed to them undesirable side effects or have other properties that delay or prevent their regulatory approval or limit their commercial potential.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Clinical trials of our drug candidates may not uncover all possible AEs that patients may experience.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are not able to successfully demonstrate a favorable differentiation between EryDex and currently available corticosteroids, our business would be harmed and our ability to generate revenue from that class of drugs would be severely impaired.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Because the potential rare disease target patient populations of EryDex are small, and the addressable patient population even smaller, we may not be able to effectively complete clinical trials or commercialize the drug candidate.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a clinical stage biotechnology company with a limited operating history, which may make it difficult to evaluate the prospects for our future viability.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will require substantial additional funding to finance our operations and to develop and evaluate current and future drug candidates. If we are unable to raise this funding when needed or on acceptable terms, we may be forced to delay, reduce or eliminate our drug development programs or other operations.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terms of the EIB Facility place restrictions on our operating and financial flexibility.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We cannot be certain that the FDA or foreign regulatory authorities will permit us to proceed with any current or future proposed clinical trial designs. Our drug candidates may not receive regulatory approval, and without regulatory approval we will not be able to market our drug candidates.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Clinical failure can occur at any stage of clinical development and we have never submitted an NDA or comparable foreign applications before.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Clinical trials of our drug candidates have in the past been put on clinical holds by, and failed to demonstrate safety and efficacy to the satisfaction of, the FDA, and if any future clinical trials of our drug candidates are put on clinical holds by, or fail to demonstrate safety and efficacy to the satisfaction of, the FDA, the EMA, or similar regulatory authorities outside the United States, or do not otherwise produce positive results, we may incur additional costs or experience delays in completing, or ultimately be unable to complete, the development and commercialization of our drug candidates.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currently rely and expect to continue to rely on third parties to conduct some of our preclinical studies and clinical trials and some aspects of our research and preclinical testing and on third-party contract manufacturing organizations to manufacture and supply our preclinical, clinical and commercial materials, and those third parties may not perform satisfactorily, including failing to meet deadlines for the completion of such trials, research, manufacturing or testing.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or any of our third-party manufacturers or suppliers encounter difficulties in production of our future drug candidates, or fail to meet rigorously enforced regulatory standards, our ability to provide supply of our future drug candidates for clinical trials or for patients, if approved, could be delayed or stopped, or we may be unable to maintain a commercially viable cost structure.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in the future, we are unable to establish sales and marketing capabilities or enter into agreements with third parties to sell and market any drug candidates we may develop, we may not be successful in commercializing those drug candidates if and when they are approved.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are unable to obtain and maintain sufficient intellectual property protection for our current drug candidates, any future drug candidates, and other proprietary technology we develop, or if the scope of the intellectual property protection is not sufficiently broad, our competitors could develop and commercialize drug candidates similar or identical to ours, and our ability to successfully commercialize our current drug candidate, if approved, any future drug candidates, and other proprietary technologies if approved, may be adversely affected.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be successful in obtaining or maintaining necessary rights to our drug candidates through acquisitions and in-licenses.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stockholders may realize little or no value from the divesture of our legacy assets, and as a result our stock price may decline, we could be subject to litigation, and our business may be adversely affected.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have in the past and may in the future fail to meet the requirements for continued listing on Nasdaq. If we fail to maintain compliance with the minimum listing requirements, our common stock may be delisted, which could have a material adverse effect on the liquidity of our common stock.</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operations and financial results are subject to various risks and uncertainties, including those described below that could adversely affect our business, financial condition, results of operations, cash flows and the trading price of our common stock. You should carefully consider the following risks, together with all of the other information in this Quarterly Report on Form 10-Q, including our consolidated financial statements and the related notes included elsewhere in this Quarterly Report on Form 10-Q. We have marked with an asterisk (*) those risks described below that reflect substantive changes from, or additions to, the risks described in our Annual Report on Form 10-K.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difficulties integrating Quince and EryDel’s operations and realizing the expected benefits of the EryDel Acquisition.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the EryDel Acquisition will depend in part on our ability to realize the expected operational efficiencies and associated cost synergies and anticipated business opportunities and growth prospects from the EryDel Acquisition in an efficient and effective manner. We may not be able to fully realize the operational efficiencies and associated cost synergies or leverage the potential business opportunities and growth prospects to the extent anticipated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Challenges associated with the integration may include those related to retaining and motivating executives and other key employees, blending corporate cultures, eliminating duplicative operations, and making necessary modifications to internal control over financial reporting and other policies and procedures in accordance with applicable laws. Some of these factors are outside our control, and any of them could delay or increase the cost of our integration efforts. The integration process could take longer than anticipated and could result in the loss of key employees, the disruption of each company’s ongoing businesses, increased tax costs, inefficiencies, and inconsistencies in standards, controls, information technology systems, policies and procedures, any of which could adversely affect our ability to maintain relationships with employees or third parties, or our ability to achieve the anticipated benefits of the transaction, and could harm our financial performance. If we are unable to successfully integrate certain aspects of the operations of EryDel, including relevant human resource functions, or experience delays, we may incur unanticipated liabilities and be unable to fully realize the potential benefit of future revenue and other anticipated benefits resulting from the arrangement, and our business, results of operations and financial condition could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substantially dependent on the success of our lead drug candidate, EryDex.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and future success depends on our ability to successfully develop, obtain regulatory approval for and successfully commercialize our lead drug candidate, EryDex, which is under clinical development for A-T. EryDex is our only drug candidate in late-stage clinical development, and our business currently depends heavily on its successful development. In the previous Phase 3 ATTeST trial, the trial did not meet the primary efficacy endpoint. The trial saw statistically significant results in the age group of six to nine years old. We initiated the NEAT clinical trial in this population in the second quarter 2024, and expect to announce the results of the NEAT clinical trial in the fourth quarter of 2025, but cannot guarantee that the results of this study will be positive or that they will allow further development in this therapeutic indication.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EryDex will require additional clinical and non-clinical development, regulatory review and approval in multiple jurisdictions, substantial investment, access to sufficient commercial manufacturing capacity and significant marketing efforts before we can generate any revenue from product sales. We cannot be certain EryDex will receive regulatory approval or be successfully commercialized even if we receive regulatory approval. In addition, because EryDex is our most advanced drug candidate, and because our other drug candidates are based on the same AIDE platform technology, if EryDex encounters safety or efficacy problems, developmental delays or regulatory issues or other problems, our development plans and business would be significantly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no drug candidates approved for commercial sale, we have never generated any revenue from sales, and we may never be profitable.*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 drug candidates approved for sale, have never generated any revenue from sales, have never been profitable and do not expect to be profitable in the foreseeable future. We have incurred net losses in each year since our inception. For the quarters ended September 30, 2024 and 2023, our net losses were $5.5 million and $5.4 million, respectively. We had an accumulated deficit of $364.0 million as of September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Before we are able to generate any revenue, we will need to commit substantial funds to the anticipated clinical and development activities related to EryDex, and we may not be able to obtain sufficient funds on acceptable terms, if at all. Any additional debt financing or additional equity that we raise may contain terms that are not favorable to us and/or result in dilution to our stockholders.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it could take several years, if ever, before we may have a drug candidate ready for commercialization. We expect to continue to incur losses for the foreseeable future, and we expect these losses to increase as we pursue our current strategic direction, and seek regulatory approvals for any drug candidates, prepare for and begin the commercialization of any approved drug candidates, and add infrastructure and personnel to support our drug development efforts and operations as a public company. We anticipate that any such losses could be significant for the next several years. These net losses and negative cash flows have had, and will continue to have, an adverse effect on our stockholders’ equity and working capital. Further, these net losses have fluctuated significantly in the past and are expected to continue to significantly fluctuate from quarter-to-quarter or year-to-year. To become and remain profitable, we must develop and eventually commercialize a drug with significant revenue. However, we may never succeed in developing a commercial drug.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explore partnership and licensing opportunities to support the future development of EryDex and other drug candidates. We may also encounter other unforeseen expenses, difficulties, complications, delays and other known and unknown challenges as we pursue our current strategic direction.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numerous risks and uncertainties, we are unable to accurately predict the timing or amount of increased expenses or when, or if, we will be able to generate revenues or achieve profitability. If we do achieve profitability, we may not be able to sustain or increase profitability on a quarterly or annual basis and we will continue to incur substantial research and development and other expenditures to develop and market additional drug candidates.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and may be required to make milestone payments to the EryDel shareholders or pursuant to the EIB Facility in connection with our development and commercialization of EryDex, which could adversely affect the overall profitability of EryDex, if approved.*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EryDel Acquisition, we have and may be required to make additional payments to EryDel shareholders of up to an aggregate of $485.0 million in potential cash payments, comprised of up to $5.0 million upon the achievement of a specified development milestone, which was achieved in the second quarter of 2024, $25.0 million at NDA acceptance, up to $60.0 million upon the achievement of specified approval milestones, and up to $395.0 million upon the achievement of specified on market and sales milestones, with no royalties paid to EryDel. These milestone obligations could impose substantial additional costs on us, divert resources from other aspects of our business, and adversely affect the overall profitability of EryDex, if approved. We may need to obtain additional financing to satisfy these milestone payments, and cannot be sure that any additional funding, if needed, will be available on terms favorable to us, or at all. During the three months ended June 30, 2024, we enrolled the first patient in the Phase 3 NEAT clinical trial. Within 45 days of the achievement of the milestones, we notified the former EryDel shareholders of this achievement. Additionally, within 30 days of the notification, we paid the cash milestone payment of $5 million to the former EryDel shareholders in accordance with the purchase agreement entered into in connection with EryDel Acquisition. We owe no further payments to EryDel shareholders for development-related milestones. The remaining potential contingent payments in connection with the EryDel Acquisition pertain to regulatory on market and sales milestones.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the EIB Facility, we are also required to make additional payments to the EIB consisting of (i) interest payments on the outstanding loans thereunder, (ii) payments based on a percentage of the revenue derived from the acquisition of EryDel on October 23, 2023, which will be payable annually commencing with the first such payment commencing on June 30, 2027 with respect to the immediately preceding fiscal year, and (iii) repayments of the principal amount of the loans under the EIB Facility upon the occurrence of certain events. The occurrence of certain events of default under the EIB Facility, including failure to make payments as they become due (subject to a grace period of three (3) business days) to the EIB, would result in the EIB having the right to accelerate and demand immediate payment of all outstanding obligations, together with accrued interest, if any, and any prepayment fees, under the EIB Facility. We may need additional funding in order to make such payments.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results could suffer if we do not effectively manage our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new strategic pursuits, we may expand our size and operations through the EryDel Acquisition. Our future success depends, in part, upon our ability to manage such expanded business, which may pose substantial challenges for management, including challenges related to the management and monitoring of new operations and associated increased costs and complexity. There can be no assurances that we will be successful or that we will realize the expected synergies and other benefits anticipated from any future acquisitions or strategic transactions that we may undertake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financial results have been in the past and may in the future be adversely affected by impairment charges from the recording of goodwill and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results have been in the past and may in the future be adversely affected by impairment charges from the recording of goodwill and intangible assets incurred in connection with acquisitions. For example, during the quarter ended June 30, 2024, we incurred a $17.1 million goodwill impairment charge in connection with the EryDel Acquisition. Additionally, we incurred a $0.8 million goodwill impairment charge in the quarter ended September 30, 2022 and a $5.9 million IPR&amp;D Intangible Asset impairment charge for the quarter ended March 31, 2023 in connection with the Novosteo Acquisition. Further, our failure to identify or accurately assess the magnitude of necessary technology investments we assumed as a result of the EryDel Acquisition could result in unexpected litigation or regulatory exposure, unfavorable accounting charges, a loss of anticipated tax benefits or other adverse effects on our business, operating results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Development of Our Drug Candidates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Phase 3 NEAT clinical trial of EryDex for A-T will be conducted under a protocol negotiated with FDA by EryDel and our execution of the trial may be delayed, may not be successful, and may not result in NDA approval, with adverse results for our business and share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acquisition of our Phase 3 lead asset, EryDex, we initiated the Phase 3 NEAT clinical trial in the first half of 2024. The NEAT protocol is the subject of an SPA, agreement with FDA. The FDA may revoke or alter its SPA agreement under the following circumstances: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public health concerns emerge that were unrecognized at the time of the protocol assessment, or the director of the review division determines that a substantial scientific issue essential to determining safety or efficacy has been identified after testing has begun;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 sponsor fails to follow a protocol that was agreed upon with the FDA; or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relevant data, assumptions, or information provided by the sponsor in a request for SPA change, are found to be false statements or misstatements, or are found to omit relevant facts.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documented SPA may be modified, and such modification will be deemed binding on the FDA review division, except under the circumstances described above, if the FDA and the sponsor agree in writing to modify the protocol and such modification is intended to improve the study. An SPA, however, does not guarantee that a trial will be successful, and our execution of the Phase 3 NEAT clinical trial may be delayed and even if successful may not result in approval by the FDA.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or any future development partner with whom we enter into a related agreement, are required to conduct clinical and nonclinical trials in accordance with the study plan and protocols and applicable regulatory requirements. The FDA or comparable regulatory authorities outside the U.S., including in the EU, may disagree with the design or implementation of our or any of our future development partners’ clinical trials. We or any of our future development partners may be unable to demonstrate to the satisfaction of the FDA or other regulatory authorities outside the U.S., including in the EU, that a product candidate is safe and effective for any indication.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responsible for ensuring that each of our nonclinical studies and clinical trials are conducted in accordance with the study plan and protocols and applicable regulatory requirements and that drug candidates are manufactured and tested in accordance with applicable GMP requirements and other applicable regulatory requirements. If we or any future development partner are unable to demonstrate that our candidate drugs were manufactured and clinical trials were conducted in accordance with applicable regulations we may be unable to submit appropriate evidence to support applications for drug approval and the authorities may reject or related applications.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drug development is a lengthy, expensive and uncertain process. The results of preclinical studies and early clinical trials are not always predictive of future results. Any drug candidate that we may advance into clinical trials may not achieve favorable results in later clinical trials, if any, or receive marketing approval.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research and development of drugs is extremely risky. Only a small percentage of drug candidates that enter the development process ever receive marketing approval. Before obtaining marketing approval from regulatory authorities for the sale of any drug candidate, we must complete preclinical development and then conduct extensive clinical trials to demonstrate the safety and efficacy of our drug candidates in humans. Clinical testing is expensive and can take many years to complete, and its outcome is inherently uncertain.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preclinical studies and completed clinical trials are not necessarily predictive of future results, and our current drug candidate may not be further developed or have favorable results in later studies or trials. Clinical trial failure may result from a multitude of factors including, but not limited to, flaws in study design, dose selection, placebo effect, patient enrollment criteria and failure to demonstrate favorable safety or efficacy traits. As such, failure in clinical trials can occur at any stage of testing. The Phase 3 ATTeST clinical trial conducted by EryDel failed to meet the primary endpoint and was potentially negatively affected by missing date during the COVID-19 pandemic. Several companies in the pharmaceutical industry have suffered setbacks in the advancement of their drug candidates into later-stage clinical trials due to lack of efficacy or adverse safety profiles, notwithstanding results in earlier preclinical studies or clinical trials. In addition, data obtained from preclinical trials and clinical trials are susceptible to varying interpretations, and regulatory authorities may not interpret our data as favorably as we do, which may further delay, limit or prevent development efforts, clinical trials or marketing approval. Furthermore, as more competing drug candidates within a particular class of drugs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 through clinical development to regulatory review and approval, the amount and type of clinical data that may be required by regulatory authorities may increase or change.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complete preclinical studies or clinical trials of any future drug candidates, due to safety or efficacy concerns, or if the results of these trials are not sufficient to convince regulatory authorities of their safety or efficacy, we will not be able to obtain marketing approval for commercialization on a timely basis or at all. Even if we are able to obtain marketing approval for our current and any future drug candidates, those approvals may be for indications or dose levels that deviate from our desired approach or may contain other limitations that would adversely affect our ability to generate revenue from sales of those drug candidates.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Results in earlier clinical trials may not be indicative of the results that may be obtained in registrational clinical trials, which may delay or prevent obtaining regulatory approval.</w:t>
      </w:r>
    </w:p>
    <w:p>
      <w:pPr>
        <w:pStyle w:val="TextBody"/>
        <w:bidi w:val="0"/>
        <w:spacing w:lineRule="auto" w:line="288" w:before="240" w:after="283"/>
        <w:jc w:val="left"/>
        <w:rPr/>
      </w:pPr>
      <w:r>
        <w:rPr>
          <w:rFonts w:ascii="Times New Roman;sans-serif" w:hAnsi="Times New Roman;sans-serif"/>
          <w:b w:val="false"/>
          <w:color w:val="000000"/>
          <w:sz w:val="20"/>
        </w:rPr>
        <w:t>Clinical development is expensive and can take many years to complete, and its outcome is inherently uncertain. Failure can occur at any time during the clinical trial process. Success in preclinical studies and early clinical trials may not be predictive of results in larger clinical trials, and previous results from early or small clinical trials may not be replicated or show as favorable an outcome in further clinical trials, even if successful. For example, EryDel had previously endeavored to develop EryDex for the potential treatment of A-T. While we have not seen evidence of significant safety concerns throughout EryDex Phase 3 clinical development for A-T, it failed to meet the primary endpoint, but showed statistically effective results in a certain population, six to nine years old. We plan to conduct a Phase 3 NEAT clinical trial in the population (</w:t>
      </w:r>
      <w:r>
        <w:rPr>
          <w:rFonts w:ascii="Times New Roman;sans-serif" w:hAnsi="Times New Roman;sans-serif"/>
          <w:b w:val="false"/>
          <w:i/>
          <w:color w:val="000000"/>
          <w:sz w:val="20"/>
        </w:rPr>
        <w:t>i.e.</w:t>
      </w:r>
      <w:r>
        <w:rPr>
          <w:color w:val="000000"/>
        </w:rPr>
        <w:t xml:space="preserve"> </w:t>
      </w:r>
      <w:r>
        <w:rPr>
          <w:rFonts w:ascii="Times New Roman;sans-serif" w:hAnsi="Times New Roman;sans-serif"/>
          <w:b w:val="false"/>
          <w:color w:val="000000"/>
          <w:sz w:val="20"/>
        </w:rPr>
        <w:t>six to nine years old) that was found to be statistically effective. However, further studies in this population may not replicate previous results. Accordingly, the previous clinical trials that EryDel conducted may not have uncovered safety issues, even if they exist. The biochemical pathways that we believe are affected by EryDex are implicated in a variety of biological processes and disease conditions, and it is possible that the use of our drug candidates to treat larger numbers of patients will demonstrate unanticipated AEs, which may negatively affect their safety profile.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in the pharmaceutical and biotechnology industries have suffered significant setbacks in late-stage clinical trials after achieving positive results in early-stage development, or after achieving positive results in pivotal trials, and we have had, and may face, similar setbacks. In addition, the patient populations under investigation with EryDex have many co-morbidities that may cause severe illness or death, which may be attributed to EryDex in a manner that negatively affects the safety profile of our drug candidate. If the results of our ongoing or future clinical trials for EryDex are inconclusive with respect to efficacy, if we do not meet our clinical endpoints with statistical significance, or if there are unanticipated safety concerns or AEs that emerge during clinical trials, we may be prevented from or delayed in obtaining marketing approval, and even if we obtain marketing approval, any sales may suffer.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will incur additional costs and may experience delays in completing, or ultimately be unable to complete, the development and commercialization of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risk of failure is high for any drug candidates we may acquire that are in clinical and preclinical development. The clinical trials and manufacturing of our drug candidates are, and the manufacturing and marketing of our drug candidates, if approved, will be, subject to extensive and rigorous review and regulation by numerous government authorities in the United States and in other countries where we intend to test and market our drug candidates. Before obtaining regulatory approvals for the commercial sale of any of our drug candidates, we must demonstrate thorough lengthy, complex and expensive preclinical testing and clinical trials that our drug candidates are both safe and effective for use in each target indication. We may not be able to develop a trial design that the FDA and other foreign regulatory authorities can accept. Each drug candidate must demonstrate an adequate risk versus benefit profile in its intended patient population and for its intended use.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trials are expensive and can take many years to complete, and their outcomes are inherently uncertain. We cannot guarantee that any future clinical trials will be conducted as planned or completed on schedule, if at all. Failure can occur at any time during the clinical trial process. For example, on January 25, 2022, the FDA placed a full clinical hold on the IND for atuzaginstat (COR388). Additionally, the Phase 2/3 study with COR388 in Alzheimer’s disease failed to meet the primary endpoint. COR388 is one of our assets that has since been out-licensed. On March 8, 2023, the FDA placed a partial clinical hold on the IND for EryDex related to extractables and leachables of new components used in the EryKit. The FDA subsequently lifted the partial clinical hold on September 23, 2023. Additionally, the Phase 3 ATTeST study conducted by EryDel failed to meet the primary endpoint. Even if any future clinical trials are completed as planned, we cannot be certain that their results will support the safety and effectiveness of our potential drug candidates for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targeted indications or support continued clinical development of such drug candidates. Our ongoing and any future clinical trial results may not be successful.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even if such trials are successfully completed, we cannot guarantee that the FDA or foreign regulatory authorities will interpret the results as we do, and more trials could be required before we submit our drug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required to conduct preclinical studies, clinical trials or other testing of our drug candidates beyond those that we currently contemplate, if we are unable to successfully complete preclinical studies, clinical trials of our drug candidates or other testing, if the results of these trials or tests are not positive or are only modestly positive or if there are safety of efficacy concerns, we may: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be delayed in obtaining marketing approval for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not obtain marketing approval at all or regulatory authorities may suspend, vary or withdraw marketing approvals for approved products;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obtain approval for indications, dosages or patient populations that are not as broad as intended or desired;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 including boxed warnings;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have the medicine removed from the market after obtaining marketing approval.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Drug development costs will also increase if we experience delays in testing or in obtaining marketing approvals. We do not know whether any clinical trials will begin as planned, will need to be amended or will be completed on schedule, or at all. Significant preclinical studies and clinical trial delays also could shorten any periods during which we may have the exclusive right to commercialize our drug candidates, could allow our competitors to bring drug candidates to market before we do, and could impair our ability to successfully commercialize our drug candidates, if approved, any of which may harm our business and results of operations. In addition, many of the factors that cause, or lead to a delay in the commencement or completion of, clinical trials may also ultimately lead to termination or suspension of a clinical trial. Any of these occurrences may harm our business, financial condition and prospects significantly. Any termination of any clinical trial of our drug candidates will harm our commercial prospects and our ability to generate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drug candidates may cause or have attributed to them undesirable side effects or have other properties that delay or prevent their regulatory approval or limit their commercial potential.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Undesirable side effects caused by our drug candidates or that may be identified as related to our drug candidates by investigators conducting our clinical trials or even related to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AEs and SAEs that emerge during treatment with our drug candidates or other compounds acting through similar biological pathways may be deemed to be related to our drug candidate. This may require longer and more extensive Phase 3 clinical development, or regulatory authorities may increase the amount of data and information required to approve, market, or maintain our drug candidates and could result in negative labeling or a restrictive REMS or comparable foreign strategy. This may also result in an inability to obtain approval of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or all of these events may cause the development of our drug candidates to be delayed or terminated, which could materially and adversely affect our business and prospects. Our drug candidates have in the past and may in the future be deemed to cause AEs and SAEs.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trials of our drug candidates may not uncover all possible AEs that patients may experience.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are conducted in representative samples of the potential patient population, which may have significant variability. By design, clinical trials are based on a limited number of subjects and are of limited duration of exposure to the product, to determine whether the drug candidate demonstrates the substantial evidence of efficacy and safety necessary to obtain regulatory approval. As with the results of any statistical sampling, we cannot be sure that all side effects of our drug candidates may be uncovered. It may be the case that only with a significantly larger number of patients exposed to the drug candidate for a longer duration may there be a more complete safety profile be identified. Further, even larger clinical trials may not identify rare SAEs, and the duration of such studies may not be sufficient to identify when those events may occur. Other products have been approved by the regulatory authorities for which safety concerns have been uncovered following approval. Such safety concerns have led to labeling changes, restrictions on distribution through use of a REMS, or comparable foreign strategy, or withdrawal of products from the market, and any of our drug candidates may be subject to similar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to date we have not seen evidence of significant safety concerns with our drug candidates in the patient populations currently undergoing clinical trials with EryDex, if approved, may experience previously unreported adverse reactions, and it is possible that the FDA or other regulatory authorities may ask for additional safety data as a condition of, or in connection with, our efforts to obtain approval of our drug candidates. If safety problems occur or are identified after our products, if any, reach the market, we may make the decision or be required by regulatory authorities to amend the labeling of our products, recall our products, or even withdraw approval for our products.</w:t>
      </w:r>
    </w:p>
    <w:p>
      <w:pPr>
        <w:pStyle w:val="TextBody"/>
        <w:bidi w:val="0"/>
        <w:spacing w:lineRule="auto" w:line="288" w:before="240" w:after="283"/>
        <w:jc w:val="left"/>
        <w:rPr/>
      </w:pPr>
      <w:r>
        <w:rPr>
          <w:rFonts w:ascii="Times New Roman;sans-serif" w:hAnsi="Times New Roman;sans-serif"/>
          <w:b/>
          <w:i/>
          <w:color w:val="000000"/>
          <w:sz w:val="20"/>
        </w:rPr>
        <w:t>If we are not able to successfully demonstrate a favorable differentiation between EryDex and currently available corticosteroids, our business would be harmed and our ability to generate revenue from that class of drugs would be severely impaired.</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is to pursue the development of off-patent drugs for which we would directly pursue the development of a red blood cell encapsulated formulation through the FDA’s 505(b)(2) regulatory pathway. In order to receive sufficient reimbursement and utilization, our drug candidates, will require showing differentiation against currently available generic products. If we are not able to differentiate EryDex from currently available corticosteroids by showing a safety or efficacy benefit that is reflected in the approved label, our business would be harmed and our ability to generate revenue from that class of drugs would be severely impaired.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the potential rare disease target patient populations of EryDex are small, and the addressable patient population even smaller, we may not be able to effectively complete clinical trials or commercialize the drug candidate.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EryDex is in development for rare disease. Our projections of both the number of people who have these diseases, as well as the subset of people with these diseases who have the potential to benefit from treatment with EryDex are based on our beliefs and estimates. These estimates have been derived from a variety of sources, including the scientific literature, or patient foundations, and may prove to be incorrect or contain errors. New studies have in the past and may continue to change the estimated incidence or prevalence of these diseases. We cannot accurately predict the number of patients for whom treatment might be possible. Additionally, since the potentially addressable patient population for this drug candidate is limited, we may fail to enroll a sufficient number of patients in our clinical trials in a timely manner. Furthermore, even if we successfully develop this asset, and obtain commercial approval, we may not be able to achieve significant market share for EryDex. Because the potential target populations are very small, we may not effectively complete clinical trials on a timely basis or at all and may not realize any significant return from the development or potential commercialization of this asset.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Financial Position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 clinical stage biotechnology company and have a limited history operating a newly acquired business, which may make it difficult to evaluate the prospects for our future viability.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our inception, we have been focused on novel therapeutic approaches to improve the lives of patients diagnosed with Alzheimer’s and other degenerative diseases. After the Novosteo Acquisition in 2022, we shifted our operational focus on the development of our bone-targeting drug platform and lead compound NOV004 for development for rare skeletal diseases, bone fractures, and injury. In January 2023, we made a strategic decision to out-license our bone-targeting drug platform and prioritize capital resources toward the expansion of our development pipeline through the completion the acquisition of EryDel in October 2023. We have a limited history operating our newly acquired business, which may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difficult to evaluate the success of our business to date and assess our future viability. Drug development is a highly uncertain undertaking and involves a substantial degree of risk. To date, we have only initiated two late-stage clinical trials, one of which was initiated by EryDel, and we have not obtained marketing approval for any drug candidate, manufactured a commercial scale drug candidate, arranged for a third party to do so on our behalf, or conducted sales and marketing activities necessary for successful drug candidate commercialization. Our short operating history as a company makes any assessment of our future success and viability subject to significant uncertainty. We will encounter risks and difficulties frequently experienced by clinical stage biotechnology companies in rapidly evolving fields, and we have not yet demonstrated an ability to overcome such risks and difficulties successfully. If we do not address these risks and difficulties successfully, our business will suffer.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funding to finance our operations and evaluate future drug candidates. If we are unable to raise this funding when needed or on acceptable terms, we may be forced to delay, reduce or eliminate our drug development programs or other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used substantial amounts of cash to fund our operations, and we expect our expenses to increase substantially in the foreseeable future in connection with our ongoing activities, particularly as we evaluate and develop drug candidates. In addition, if we obtain marketing approval for any future drug candidates, we expect to incur significant commercialization expenses related to sales, marketing, manufacturing and distribution.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development of EryDex will require us to incur significant additional expenses. Moreover, we expect to require substantial additional funding to finance such payments and to advance the development and optimize the commercialization of EryDex, and there can be no assurance that such additional funding will be available on terms that are acceptable to us, or at all. If adequate funds are not available on a timely basis, we may not be able to effectively implement our strategic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will need to obtain substantial additional funding in order to fully execute on our corporate strategy. As of September 30, 2024 we had $47.8 million in cash, cash equivalents and short-term investments. We may be required to recognize impairments in the value of these investments if the relevant companies are materially adversely affected, become unable to repay debt securities when due, or experience credit rating downgrades, or if the public trading price of these securities decreases.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capital resources will be sufficient to fund our projected operations, which would include anticipated clinical and development activities related to EryDel's lead asset through the Phase 3 NEAT clinical trial, into 2026.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 The amount and timing of our future funding requirements will depend on many factors, some of which are outside of our control, including but not limited to:</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rate of progress in the development of and the conduct of clinical trials with respect to our product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successfully identify partnership and licensing opportunities to support the future development of EryDex;</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outcome, costs and timing of seeking and obtaining FDA and any other regulatory approvals;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number and characteristics of drug candidates that we acquired or pursue;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manufacture sufficient quantities of our drug candidates and devices;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need to expand our research and development activities;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costs associated with securing and establishing commercialization and manufacturing capabilities;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costs of acquiring, licensing or investing in businesses, drug candidates and technologies;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need and ability to retain management and hire scientific and clinical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 of competing drugs and drug candidates and other market developments;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need to implement additional internal systems and infrastructure, including financial and reporting systems;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costs to grow our organization and increase the size of our facilities to meet our anticipated growth;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economic and other terms, timing of and success of any collaboration, licensing or other arrangements into which we may enter in the future;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and timing of future milestones payments to EryDel shareholders and repayment of obligations in respect of the EIB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funding may not be available to us on acceptable terms or at all. Any such funding may result in dilution to stockholders, imposition of debt covenants and repayment obligations, or other restrictions that may affect our business. We also could be required to seek funds through arrangements with collaborative partners or otherwise that may require us to relinquish rights to some of our technologies or drug candidates or otherwise agree to terms unfavorable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terms of the EIB Facility place restrictions on our operating and financial flexibility.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EIB Facility, we are subject to operating restrictions and covenants that restrict our ability to finance our operations, engage in business activities or expand or fully pursue its business strategies. For example, unless we get approval from EIB, the EIB Facility limits our ability to, among other things: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incur additional debt or provide guarantees in respect of debt;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incur liens;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make investments, acquisitions, loans or advances;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sell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make distributions to equity holders, including dividends and distributions on, and redemptions, repurchases or retirement of, our capital stock;</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enter into certain hedging transactions;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enter into fundamental changes, including mergers and consolidations;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 the nature of our business;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 our management.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EIB Facility requires that we meet certain reporting and operating covenants, including an obligation to maintain a certain minimum unrestricted balance of cash or cash equivalents. Our ability to comply with these covenants may be affected by events beyond our control, and we may not be able to meet those covenants. Subject to grace periods commencing when the borrower learns of the occurrence of a breach, a breach of these covenants would give EIB the option to exercise remedies including to accelerate the outstanding balance under the EIB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EIB Facility includes customary events of default, including failure to pay principal, interest or certain other amounts when due; material inaccuracy of representations and warranties; breach of covenants; cross-default to other indebtedness (resulting in a right of the other lender to accelerate such indebtedness after giving effect to any grace periods); certain bankruptcy and insolvency events; certain undischarged judgments; and material adverse change. A breach of any of these covenants could result in an event of default under the EIB Facility. If an event of default occurs and is ongoing under the terms of the Finance, EIB may accelerate all of the obligations of EryDel thereunder and demand payment from us pursuant to the guarantees. Any declaration by the lender of an event of default could significantly harm our business and prospects and could cause the price of our common stock to decline.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Unstable market and global economic conditions, including adverse developments affecting the financial services industry, such as actual events or concerns involving liquidity, defaults or non-performance by financial institutions, may have adverse consequences on our business, financial condition and stock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credit and financial markets have experienced volatility, including as a result of the COVID-19 pandemic, changes in interest rates, and economic inflation, which has included diminished liquidity and credit availability, declines in consumer confidence, declines in economic growth, high inflation, uncertainty about economic stability and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unemployment rates. The financial markets and the global economy may also be adversely affected by the current or anticipated impact of military conflict, acts of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heighten market and economic instability. There can be no assurance that further deterioration in credit and financial markets and confidence in economic conditions will not occur. Our business strategy may be adversely affected by any such economic downturn, volatile business environment or continued unpredictable and unstable market conditions. Failure to secure any necessary financing in a timely manner could have a material adverse effect on our growth strategy, financial performance and stock price.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maintain cash balances at third-party financial institutions in excess of the FDIC insurance limit.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maintain certain tax benefits applicable to Italian biotechnology companies may adversely affect our results of operations, our cash flows and our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Company with an Italian biotechnology subsidiary, we have benefited from certain tax advantages, including, for example, the R&amp;D tax credit, which is an Italian tax credit aimed at stimulating research and development. The R&amp;D tax credit can offset payments of certain taxes and contributions (e.g., social contributions, VAT payables, registration fees, income and withholding taxes and all other tax-related items that companies usually pay monthly). For eligible research and development activities, the tax credits were equal to 20% of the costs incurred in fiscal years 2022 and 2021, with a maximum annual amount of $4.4 million (Euro 4 million). In 2023 the tax credit rate was decreased to 10% of the eligible expenses for certain activities, and the annual ceiling of the credit increased to $5.5 million (5 million euros). Expenses incurred by the Company for years ended December 31, 2023, 2022, and 2021 generated a total tax credit amounting to $0.9 million (0.8 million euros), $1.1 million (1 million euros), and $2.0 million (1.8 million euros), respectively. The Italian tax authorities may audit each research and development program in respect of which a R&amp;D tax credit has been claimed and assess whether such program qualifies in its view for the R&amp;D tax credit. The Italian tax authorities may challenge our eligibility for, or our calculation of, certain tax reductions or deductions in respect of our research and development activities. Should the Italian tax authorities be successful, the R&amp;D tax credit, may be reduced, which would have a negative impact on our results of operations and future cash flows. We believe, due to the nature of our business operations, that we will continue to be eligible to receive the R&amp;D tax credit. However, if the Italian government decides to eliminate, or to reduce the scope or the rate of, the R&amp;D tax credit, either of which it could decide to do at any time, our results of operations could be adversely affected.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Relating to Regulatory Review and Approval of Our Drug Candidates and Other Legal Compliance Matters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cannot be certain that the FDA or foreign regulatory authorities will permit us to proceed with any current or future proposed clinical trial designs. Our drug candidates may not receive regulatory approval, and without regulatory approval we will not be able to market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no drug candidates approved for sale and we cannot guarantee that we will ever have marketable drug candidates. Our ability to generate revenue related to sales, if ever, will depend on the successful development and regulatory approval of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a drug candidate and issues relating to its approval and marketing are subject to extensive regulation by the FDA in the United States and regulatory authorities in other countries, with regulations differing from country to country. We are not permitted to market any drug candidates in the United States until we receive approval of an NDA from the FDA. Similar requirements apply in foreign countries. We have not submitted any marketing applications for a drug candidate.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EryDex utilizes DSP, we believe it will qualify for FDA approval through the FDA’s 505(b)(2) regulatory pathway and through corresponding regulatory paths in other foreign jurisdictions. The clinical requirements for a 505(b)(2) drug candidate can vary widely from product to product depending primarily on whether the drug candidate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claims a new indication, provides for a different route of administration, or claims improved safety compared to the existing approved product, and may include bioequivalence trials, limited safety and efficacy trials, or full Phase 1 through 3 trials.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NDAs must include extensive preclinical and clinical data and supporting information to establish the drug candidate’s safety and effectiveness for each desired indication. NDAs must also include significant information regarding the chemistry, manufacturing and controls for the drug. Obtaining approval of an NDA is a lengthy, expensive and uncertain process, and we may not be successful in obtaining approval. The FDA review processes can take years to complete and approval is never guaranteed. If we submit an NDA to the FDA, the FDA must decide whether to accept or reject the submission for filing. We cannot be certain that any submissions will be accepted for filing and review by the FDA. Regulators of other jurisdictions may impose similar requirements and have their own procedures for approval of drug candidates. Even if a drug is approved, the FDA or a comparable foreign regulatory authority may limit the indications for which the drug may be marketed, require extensive warnings on the drug labeling or require expensive and time-consuming clinical trials or reporting as conditions of approval. Regulatory authorities in countries outside of the United States also have requirements for approval of drug candidates with which we must comply prior to marketing in those countries. Obtaining regulatory approval for marketing of a drug candidate in one country does not ensure that we will be able to obtain regulatory approval in any other country. In addition, delays in approvals or rejections of marketing applications in the United States or other countries may be based upon many factors, including regulatory requests for additional analyses, reports, data, preclinical studies and clinical trials, regulatory questions regarding different interpretations of data and results, changes in regulatory policy during the period of drug development and the emergence of new information regarding our drug candidates or other drug candidates. Also, regulatory approval for any of our drug candidates may be withdrawn.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failure can occur at any stage of clinical development and we have never submitted an NDA or comparable foreign application before.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FDA or other foreign regulatory authorities may limit our ability to proceed with potential clinical programs, which could have a materially adverse impact on us. The submission of a successful NDA or comparable foreign applications is a complicated process. As an organization, we have never conducted a registrational clinical trial and have limited experience in preparing, submitting and prosecuting regulatory filings, and have not submitted an NDA or comparable foreign applications. Failure to commence or complete, or delays in, our planned clinical trials would prevent us from or delay us in seeking approval for, and if approved, commercializing our drug candidates, and failure to successfully complete any of these activities in a timely manner for any of our drug candidates could have a material adverse impact on our business and financial performance. The commencement, enrollment and completion of clinical trials can be delayed or suspended for a variety of reasons,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inability to obtain sufficient funds required for a clinical trial;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inability to reach agreements on acceptable terms with prospective CROs and trial sites, the terms of which can be subject to extensive negotiation and may vary significantly among different CROs and trial sites;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clinical holds, other regulatory objections to commencing or continuing a clinical trial or the inability to obtain regulatory approval to commence a clinical trial in countries that require such approvals;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discussions with the FDA or non-U.S. regulators regarding the scope or design of our clinical trials;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inability to identify and maintain a sufficient number of trial sites, many of which may already be engaged in other clinical trial programs, including some that may be for the same indications targeted by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inability to obtain approval from IRBs or positive ethics committee opinions to conduct a clinical trial at their respective sites;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severe or unexpected drug-related adverse effects experienced by patients, which have resulted and may result in a full or partial clinical hold by the FDA or non-U.S. regulators;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inability to timely manufacture sufficient quantities of the drug candidate or devices required for a clinical trial;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difficulty recruiting and enrolling patients to participate in clinical trials for a variety of reasons, including ability to find patients with a rare disease, meeting the enrollment criteria for our study and competition from other clinical trial programs for the same indications as our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inability to retain enrolled patients after a clinical trial is underway;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enrollment may be delayed or interrupted or patients may drop out of clinical trials due to or the fear of natural disasters, such as earthquakes, tsunamis, power shortages or outages, floods, or monsoons, public health crises, such as pandemics and epidemics, political crisis, such as terrorism, war, political instability or other conflict, cyberattacks, or other events outside of our control occurring at or around our clinical trials sites in the United States or Europe.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design of a clinical trial can determine whether its results will support approval of a drug and flaws in the design of a clinical trial may not become apparent until the clinical trial is well-advanced. Changes in regulatory requirements and guidance may also occur and we may need to amend clinical trial protocols to reflect these changes with appropriate regulatory authorities. Amendments may require us to resubmit clinical trial protocols to IRBs or ethics committees for re-examination, which may impact the costs, timing or successful completion of a clinical trial.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are required to conduct additional clinical trials or other preclinical studies of our drug candidates beyond those contemplated, our ability to obtain regulatory approval of these drug candidates and generate revenue from their sales would be similarly harmed.</w:t>
      </w:r>
    </w:p>
    <w:p>
      <w:pPr>
        <w:pStyle w:val="TextBody"/>
        <w:bidi w:val="0"/>
        <w:spacing w:lineRule="auto" w:line="288" w:before="240" w:after="283"/>
        <w:jc w:val="left"/>
        <w:rPr/>
      </w:pPr>
      <w:r>
        <w:rPr>
          <w:rFonts w:ascii="Times New Roman;sans-serif" w:hAnsi="Times New Roman;sans-serif"/>
          <w:b/>
          <w:i/>
          <w:color w:val="000000"/>
          <w:sz w:val="20"/>
        </w:rPr>
        <w:t>Clinical trials of our drug candidates have in the past been put on clinical holds by, and failed to demonstrate safety and efficacy to the satisfaction of, the FDA, and</w:t>
      </w:r>
      <w:r>
        <w:rPr>
          <w:color w:val="000000"/>
        </w:rPr>
        <w:t xml:space="preserve"> </w:t>
      </w:r>
      <w:r>
        <w:rPr>
          <w:rFonts w:ascii="Times New Roman;sans-serif" w:hAnsi="Times New Roman;sans-serif"/>
          <w:b/>
          <w:i/>
          <w:color w:val="000000"/>
          <w:sz w:val="20"/>
        </w:rPr>
        <w:t xml:space="preserve">if any future clinical trials of our drug candidates are put on clinical holds by, or fail to demonstrate safety and efficacy to the satisfaction of, the FDA, the EMA, or similar regulatory authorities outside the United States, or do not otherwise produce positive results, we may incur additional costs or experience delays in completing, or ultimately be unable to complete, the development and commercialization of our drug candidates.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Before obtaining regulatory approvals for the commercial sale of any of our drug candidates, we must demonstrate through lengthy, complex and expensive preclinical studies and clinical trials that our drug candidates are both safe and effective for use in each target indication. Each drug candidate must demonstrate an adequate risk versus benefit profile in its intended patient population and for its intended use.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testing is expensive and can take many years to complete, and its outcome is inherently uncertain. Failure can occur at any time during the clinical trial process. Clinical trials of our drug candidates have in the past been put on clinical holds imposed by, and failed to demonstrate safety and efficacy to the satisfaction of, the FDA, the EMA, or similar regulatory authorities outside of the United States. For example, on January 25, 2022, the FDA placed a full clinical hold on the IND for atuzaginstat (COR388), one of our assets that has since been out-licensed. On March 8, 2023, the FDA placed a partial clinical hold on the IND for EryDex related to extractables and leachables of new components used in the EryKit. The FDA subsequently lifted the partial clinical hold on September 23, 2023. The FDA may place additional clinical holds on our current or currently contemplated clinical programs or otherwise limit our ability to proceed with other clinical programs in our pipeline. Additionally, the results of preclinical studies of our drug candidates may not be predictive of the results of early-stage or later-stage clinical trials, and results of early clinical trials of our drug candidates may not be predictive of the results of later-stage clinical trials. For example, the Phase 3 ATTeST study conducted by EryDel failed to meet its primary endpoint. The results of clinical trials in one set of patients or disease indications may not be predictive of those obtained in another. In some instances, there can be significant variability in safety or efficacy results between different clinical trials of the same drug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Drug candidates in later stages of clinical trials may fail to show the desired safety and efficacy profile despite having progressed through preclinical studies and initial clinical trials. A number of companies in the pharmaceutical industry have suffered significant setbacks in advanced clinical trials due to lack of efficacy or unacceptable safety issues, notwithstanding promising results in earlier trials. This is particularly true in degenerative diseases, where failure rates historically have been higher than in many other disease areas. Most drug candidates that begin clinical trials are never approved by regulatory authorities for commercialization.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even if such clinical trials are successfully completed, we cannot guarantee that the FDA, the EMA, or other foreign regulatory authorities will interpret the results as we do, and more trials could be required before we submit our drug candidates for approval. 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EMA, or other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authorities. The FDA, the EMA, or other regulatory authorities may conclude that a financial relationship between us and a principal investigator has created a conflict of interest or otherwise affected the integrity of the study. The FDA, the EMA, or other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the EMA, or other regulatory authorities, as the case may be, and may ultimately lead to the denial of marketing approval of any of our drug candidates. To the extent that the results of the trials are not satisfactory to the FDA, the EMA, or foreign regulatory authorities for support of a marketing application, we may be required to expend significant resources, which may not be available to us, to conduct additional trials in support of potential approval of our drug candidates. Even if regulatory approval is secured for any of our drug candidates, the terms of such approval may limit the scope and use of our drug candidate, which may also limit its commercial potential.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currently rely and expect to continue to rely on third parties to conduct some of our preclinical studies and clinical trials and some aspects of our research and preclinical testing and on third-party contract manufacturing organizations to manufacture and supply our preclinical, clinical and commercial materials, and those third parties may not perform satisfactorily, including failing to meet deadlines for the completion of such trials, research, manufacturing or testing.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and expect to continue to rely on third parties, such as CROs, clinical data management organizations, medical institutions, and clinical investigators, to conduct some aspects of our research and preclinical testing and our clinical trials. We also currently rely on and expect to continue to rely on, third-party CMOs to manufacture and supply our preclinical, clinical and commercial materials. Any of these third parties may terminate their engagements with us or be unable to fulfill their contractual obligations. If we need to enter into alternative arrangements, it would delay our future drug development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current GCP regulations for conducting, recording, and reporting the results of clinical trials to assure that data and reported results are credible, reproducible and accurate and that the rights, integrity, and confidentiality of trial participants are protected. We also are required to register any future clinical trials and post the results of completed clinical trials on a government-sponsored database within certain timeframes. Failure to do so can result in fines, adverse publicity, and civil and criminal sanctions. Similar requirements and consequences may apply in countries outside the United States.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Reliance on third-party manufacturers entails additional risks, such as the possible breach of the manufacturing agreement by the third party, the possible termination or nonrenewal of the agreement by the third party at a time that is costly or inconvenient for us and reliance on the third party for regulatory compliance, quality assurance, safety and related reporting. Third-party manufacturers may not be able to comply with GMP regulations or similar regulatory requirements outside the United States.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drug candidates we may develop and will not be able to, or may be delayed in our efforts to, successfully commercialize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expect to rely on other third parties to store and distribute drug supplies for our future clinical trials. Any performance failure on the part of our distributors could delay clinical development or marketing approval of any drug candidates we may develop or commercialization of our medicinal products, producing additional losses and depriving us of drug revenue.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Production and Manufacturing of our Drug Candidates and Future Products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production capacity could prove insufficient for our needs.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production capacity may prove insufficient in the future to meet the growth of our business, including producing sufficient quantities of drug candidates for clinical trials and, ultimately, our customers and distributors. There is no guarantee that we will or have properly estimated our required manufacturing capacities or that the third parties we rely on to provide required machinery and materials for the manufacturing process will be able to perform on our proposed timelines or meet our manufacturing demands, if at all. Also, if we must increase production capacity for any reason,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may need to make considerable investments that could lead to significant financing needs or require us to enter into subcontracting agreements in order to outsource part of the production.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have access to the raw materials and other components, necessary for the manufacturing of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on third parties for the supply of various materials that are necessary to produce our drug candidates for clinical trials.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agreements with one or more of these suppliers were to be terminated or if one or more of these suppliers are unable to meet our demands, we could experience delays in our research or planned clinical trials or commercialization. We could be unable to find alternative suppliers of acceptable quality, in the appropriate volumes and at an acceptable cost.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materials are subject to stringent manufacturing processes and rigorous testing. Delays in the completion and validation of facilities and manufacturing processes of these materials could adversely affect our ability to complete trials and commercialize our products in a cost-effective and timely manner. If we encounter difficulties in the supply of these materials, chemicals or biological products, or if we were not able to maintain our supply agreements, or establish new supply agreements in the future, our product development and our business prospects could be significantly compromised.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manufacturing facilities are subject to significant government regulations and approvals. If we or our third-party manufacturers fail to comply with these regulations or maintain these approvals, our business will be materially harmed.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partially manufacture our Red Cell Loader machines and EryKit in our facility in Medolla, Italy. We and our third-party manufacturers are subject to ongoing regulation and periodic inspection by the FDA competent authorities of EU Member States and other regulatory bodies to ensure compliance with GMP, as part of our clinical trials. Any failure to follow and document our or their adherence to such GMP regulations or other regulatory requirements may lead to significant delays in the availability of products for commercial sale or clinical trials, may result in the termination of or a hold on a clinical trial, or may delay or prevent filing or approval of marketing applications for our products.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applicable regulations could also result in the European Commission, FDA, the national authorities in the individual EU Member States, or other applicable regulatory authorities taking various actions, including: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levying fines and other civil penalties;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imposing consent decrees or injunctions;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requiring us to suspend or put on hold one or more of our clinical trials;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suspending, varying or withdrawing regulatory approvals;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delaying or refusing to approve pending applications or supplements to approved applications;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requiring us to suspend manufacturing activities or product sales, imports or exports;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requiring us to communicate with physicians and other customers about concerns related to actual or potential safety, efficacy, and other issues involving our products;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mandating product recalls or seizing products;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imposing operating restrictions;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seeking criminal prosecutions.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foregoing actions could be detrimental to our reputation, business, financial condition or operating results. Furthermore, our key suppliers may not continue to be in compliance with all applicable regulatory requirements, which could result in our failure to produce our products on a timely basis and in the required quantities, if at all. In addition, before any additional products would be considered for marketing approval in the United States, the EU or elsewhere, our suppliers will have to pass an audit by the applicable regulatory authorities. We are dependent on our suppliers’ cooperation and ability to pass such audits, and the audits and any audit remediation may be costly. Failure to pass such audits by us or any of our suppliers would affect our ability to commercialize our drug candidates in the United States, the EU or elsewhere.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production costs may be higher than we currently estimate.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our drug candidates according to manufacturing best practices applicable to drugs for clinical trials and to specifications approved by the applicable regulatory authorities. If any of our drug candidates are found to be non-compliant, we would be required to manufacture the drug candidates again, which would entail additional costs and may prevent delivery of the drug candidates to patients on time.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risks inherent in the production process may have the same effect, such as: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contamination of the controlled atmosphere area;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unusable premises and equipment;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new regulatory requirements requiring a partial and/or extended stop to the production unit to meet the requirements;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unavailable qualified personnel;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power failure of extended duration;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logistical error;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rupture in the cold chain, which is a system for storing and transporting blood and blood products within the correct temperature range and conditions.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rise in direct or indirect energy rates may increase product manufacturing and logistical costs. Any of these risks, should they occur, could disrupt our activities and compromise our financial position, results, reputation or growth.</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manufacture of our products requires strict adherence to regulatory requirements governing medical devices and if we or our suppliers encounter problems our business could suffer.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manufacture of our products must comply with strict regulatory requirements governing Class II medical devices in the U.S. and other regulatory requirements in foreign locations. Problems may arise during manufacturing, quality control, storage, or distribution of our products for a variety of reasons, including equipment malfunction, failure to follow specific protocols and procedures, manufacturing quality concerns, or problems with raw materials, electromechanical, software and other components, supplier issues, and natural disasters. If problems arise during production, the affected products may have to be discarded. In the EU, our RCL and EryKit medical devices, Syringe Kit, and process solutions, are subject to periodic inspections by our Notified Body to maintain CE Certificates of Conformity permitting us to affix the CE mark to our medical devices. We may also be subject to unannounced audits by national competent authorities to ensure compliance with applicable regulatory requirements.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transitional provisions in the MDR, some CE Certificates of Conformity issued by Notified Bodies in accordance with the MDD from May 2017, and which remained valid on May 26, 2021 will remain valid until December 31, 2027 for Class III and Class IIb implantable medical devices and until December 31, 2028 for other Class IIb, Class IIa and Class I devices with a measuring function or which are sterile. Class I medical devices, for which the conformity assessment procedure in accordance with the MDD did not require the involvement of a Notified Body but will require the involvement of a Notified Body in accordance with the MDR and for which an EU Declaration of Conformity was issued in accordance with the MDD prior to May 26, 2021, can continue to be placed on the EEA market until December 31, 2028. Manufacturers of medical devices may only benefit from the above extended transitional provisions deadlines if the following conditions are fulfilled: (i) the devices continue to comply with the requirements of the MDD, (ii) there are no significant changes in the design and intended purpose, (iii) the devices do not present an unacceptable risk to the health or safety of patients, users or other persons, or to other aspects of the protection of public health, (iv) the manufacturer implements a quality management system by May 26, 2024 which complies with the requirements of the MDR, (v) by May 26, 2024 an application is lodged with a Notified Body for conduct of the conformity assessment of the devices covered by the CE Certificate of Conformity, or the devices intended to substitute for such devices, in accordance with the MDR and a related written agreement is signed with the Notified Body by September 26, 2024, and (vi) from May 26, 2021, compliance with the MDR relating to post-market surveillance, market surveillance, vigilance, registration of economic operators and of devices is ensured in place of the corresponding requirements in the MDD.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CE Certificates of Conformity will remain valid in accordance with the extended transitional deadlines above only if either (i) the manufacturer signed a written agreement with a Notified Body for the conformity assessment of the device covered by the expired CE Certificate of Conformity, or the device intended to substitute that device,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accordance with the MDR before the date of expiry of the CE Certificate of Conformity, or (ii) a competent authority of an EU Member State has granted a derogation from the application conformity assessment procedure in accordance with Article 59(1) or Article 97(1) of the MDR.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comply with any of these obligations may impact our activities in the EEA, the renewal of our existing CE Certificates of Conformity and future conformity assessment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problems or delays could also lead to increased costs, lost sales, damage to customer relations, failure to supply penalties, time and expense spent investigating the cause and depending on the cause, similar losses with respect to other batches of products. If problems are not discovered before the product is released to the market, voluntary recalls, corrective actions, or product liability related costs may also be incurred. If unanticipated problems with our products arise, or if we or our suppliers fail to comply with regulatory requirements following CE marking, we may also become subject to enforcement actions such as restrictions on manufacturing processes, warning letters, suspension, variation or withdrawal of CE Certificates of Conformity, civil or criminal penalties. Should we encounter difficulties in the manufacture of our products or be subject to a product recall, our business could suffer materially.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or any of our third-party manufacturers or suppliers encounter difficulties in production of our future drug candidates, or fail to meet rigorously enforced regulatory standards, our ability to provide supply of our future drug candidates for clinical trials or for patients, if approved, could be delayed or stopped, or we may be unable to maintain a commercially viable cost structure.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processes involved in manufacturing our drug candidates are highly regulated and subject to multiple risks. As drug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drug candidates to perform differently and affect the results of planned clinical trials or other future clinical trials.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conduct clinical trials of our drug candidates, or supply future commercial drug candidates or devices, if approved, we will need to manufacture them in small and large quantities. Our manufacturing partners may be unable to successfully modify or scale-up the manufacturing capacity for any of our drug candidates or devices in a timely or cost-effective manner, or at all. In addition, quality issues may arise during scale-up activities. If our manufacturing partners are unable to successfully scale-up the manufacture of our drug candidates or devices in sufficient quality and quantity, the development, testing and clinical trials of that drug candidate may be delayed or become infeasible, and regulatory approval or commercial launch of any resulting drug may be delayed or not obtained, which could significantly harm our business. The supply of any of these materials used in EryKits or RCLs may be limited or any of the supply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EryKits and RCLs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 The same risks apply to our internal manufacturing facilities.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manufacturing process for any drug candidates is subject to FDA and foreign regulatory requirements, and continuous oversight, and we will need to contract with manufacturers who can meet all applicable FDA and foreign regulatory authority requirements, including complying with GMPs, on an ongoing basis. If we or our third-party manufacturers are unable to reliably produce drug candidates in accordance with the requirements of the FDA or other regulatory authorities, we may not obtain or maintain the approvals we need to commercialize such future drug candidates. Even if we obtain regulatory approval for any of our drug candidates, there is no assurance that either we or our third-party contract manufacturers will be able to manufacture the approved drug in accordance with the requirements of the FDA or other regulatory authorities, to produce it in sufficient quantities to meet the requirements for the potential launch of the drug, or to meet potential future demand. Moreover,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GMP regulations. Our failure, or the failure of our third-party manufacturers, to comply with applicable regulations could result in sanctions being imposed on us, including shutdown of the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or invalidation of drug product lots or processes, fines, injunctions, civil penalties, delays, suspension, variation or withdrawal of approvals, license revocation, seizures or recalls of drug candidates or drugs, operating restrictions and criminal prosecutions, any of which could significantly and adversely affect supplies of our products, if approved, and significantly harm our business, financial condition, results of operations and prospects. Any of these challenges could delay completion of clinical trials, require bridging clinical trials or the repetition of one or more clinical trials, increase clinical trial costs, delay approval of our drug candidate, impair commercialization efforts, increase our cost of goods, and have an adverse effect on our business, financial condition, results of operations and growth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the market opportunities for our drug candidates are smaller than we believe they are, our revenue may be adversely affected, and our business may suffer. Because the target patient populations of our drug candidates are small, we must be able to successfully identify patients and acquire a significant market share to achieve profitability and growth.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focus our research and product development on treatments for rare and ultra-rare diseases. Given the small number of patients who have the diseases that we are targeting, our profitability and growth depend on successfully identifying patients with these rare and ultra-rare diseases. Our projections of both the number of people who have these diseases, as well as the subset of people with these diseases who have the potential to benefit from treatment with our drug candidates, are based on our beliefs and internal estimates. These estimates have been derived from a variety of sources, including scientific literature, surveys of clinics, patient foundations, and market research, and may prove to be incorrect. Further, new studies may change the estimated incidence or prevalence of these diseases, and, as a result, the number of patients with these diseases may turn out to be lower than expected. Our effort to identify patients with diseases we seek to treat is in early stages, and we cannot accurately predict the number of patients for whom treatment might be possible. Additionally, the potentially addressable patient population for each of our drug candidates may be limited or may not be amenable to treatment with our drug candidates, and new patients may become increasingly difficult to identify or gain access to, which would adversely affect our results of operations and our business. If patients who currently receive assistance from us in paying for the cost of our drugs continue to receive assistance, if approved, or who receive free drugs in the future, will negatively impact our profitability. If EryDex is only approved for patients with A-T who are between six and nine years old, it will be limiting an already small patient population. Finally, even if we obtain significant market share for our drug candidates, because the potential target populations are very small, we may never achieve profitability despite obtaining such significant market share.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in the future, we are unable to establish sales and marketing capabilities or enter into agreements with third parties to sell and market any drug candidates we may develop and for which we obtain approval, we may not be successful in commercializing those drug candidates if and when they are approved.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 sales or marketing infrastructure and have no experience in the sale, marketing, or distribution of pharmaceutical drug candidates, if approved, or devices. To achieve commercial success for any approved drug candidate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drug candidates if and when they are approved.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risks involved with both establishing our own commercial capabilities and entering into arrangements with third parties to perform these services. For example, factors that may inhibit our efforts to commercialize any drug candidates, if and when approved, whether alone or in collaboration with others: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inability to recruit and retain adequate numbers of effective sales, marketing, coverage or reimbursement, customer service, medical affairs, and other support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inability of sales personnel to obtain access to physicians or our failure to educate adequate numbers of physicians on the benefits of any future approved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inability of reimbursement professionals to negotiate arrangements for formulary access, reimbursement, and other acceptance by payors;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inability to price our drug candidates, if approved, at a sufficient price point to ensure an adequate and attractive level of profitability;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pricing of our products, particularly as compared to alternative treatments;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availability of alternative effective treatments for indications our candidates are intended to treat and the relative risks, benefits and costs of those treatments;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restricted or closed distribution channels that make it difficult to distribute our drug candidates, if approved, to segments of the patient population;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lack of complementary drug candidates, if approved, to be offered by sales personnel, which may put us at a competitive disadvantage relative to companies with more extensive drug candidate lines;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unforeseen costs and expenses associated with creating an independent commercialization organization.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commercial launch of a future drug candidate, if approved,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enter into arrangements with third parties to perform sales, marketing, commercial support, and distribution services, our sales revenue or the profitability of sales revenue may be lower than if we were to market and sell any drug candidates, if approved, we may develop ourselves. In addition, we may not be successful in entering into arrangements with third parties to commercialize our drug candidates, if approved, or may be unable to do so on terms that are favorable to us. We may have little control over such third parties, and any of them may fail to devote the necessary resources and attention to sell and market our drug candidates, if approved, effectively. If we do not establish commercialization capabilities successfully, either on our own or in collaboration with third parties, we will not be successful in commercializing our drug candidates if approved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liabilities and may be required to limit commercialization of our drug candidates, if approved.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the clinical testing of our drug candidates and will face an even greater risk when and if we commercialize any drug candidates, if approved. For example, we may be sued if our drug candidates cause or are perceived to cause injury or are found to be otherwise unsuitable during clinical testing, early access program, manufacturing, marketing or sale. Any such product liability claims may include allegations of defects in manufacturing, defects in design, a failure to warn of dangers inherent in the product, negligence, strict liability or a breach of warranties. Product liability claims may be brought against us by participants enrolled in our clinical trials, patients, health care providers or others using, administering our drug candidates or selling our drug candidates, if approved. Claims could also be asserted under state consumer protection acts. If we cannot successfully defend ourselves against product liability claims, we may incur substantial liabilities or be required to limit testing and commercialization of our drug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decreased or interrupted demand for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withdrawal of clinical trial participants and inability to continue clinical trials;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diversion of management’s time and our resources;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substantial monetary awards to trial participants or patients;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drug recalls, withdrawals or labeling, marketing or promotional restrictions;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termination of clinical trial sites or entire trial programs;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injury to our reputation and significant negative media attention;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exhaustion of any available insurance and our capital resources;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inability to commercialize any drug candidate, if approved;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decline in our share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inability to obtain sufficient product liability insurance at an acceptable cost to protect against potential product liability claims could prevent or inhibit the commercialization of drug candidates we develop, alone or with potential collaborators. Our insurance policies may have various exclusions, and we may be subject to a product liability claim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exposed to a variety of international risks that could materially adversely affect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risks associated with conducting business internationally. Some of our suppliers and clinical trial centers are located outside of the United States. We may enter into agreements with third parties for the development and commercialization of drug candidates in international markets. We also plan to seek regulatory approval of our drug candidates outside of the United States. International business relationships will subject us to additional risks that may materially adversely affect our ability to attain or sustain profitable operations,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differing regulatory requirements for drug approvals internationally;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rejection or qualification of foreign clinical trial data by the competent authorities of other countries;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price controls on our drug products;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complexities and difficulties in obtaining, maintaining, protecting and enforcing our intellectual property;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potential third-party patent rights in countries outside of the United States;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different United States and foreign drug import and export rules;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different reimbursement systems and different competitive drugs indicated to treat the indications for which our drug candidates are being developed;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potential for so-called “parallel importing,” which is what occurs when a local seller, faced with relatively high local prices, opts to import goods from another jurisdiction with relatively low prices, rather than buying them locally;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potential for so-called “parallel exporting,” which is what occurs when a local seller buys goods meant for the locals and sells the goods for a higher price in another country, potentially causing or aggravating supply problems;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unexpected changes in tariffs, trade barriers and regulatory requirements;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economic weakness, including inflation, bank failures, or political instability, particularly in non-U.S. economies and markets, including several countries in Europe;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compliance with tax, including withholding of payroll taxes, employment, immigration and labor laws for employees living or traveling abroad;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taxes in other countries;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foreign currency fluctuations, which could result in increased operating expenses and reduced revenue, and other obligations incident to doing business in another country;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workforce uncertainty in countries where labor unrest is more common than in the United States;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business interruptions resulting from geo-political actions, including war and terrorism, public health crises, such as pandemics and epidemics, or natural disasters, including earthquakes, volcanoes, typhoons, floods, hurricanes and fires;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compliance with evolving and expansive international data privacy laws, such as the EU GDPR.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Any of these factors could harm our </w:t>
      </w:r>
      <w:r>
        <w:rPr>
          <w:rFonts w:ascii="Times New Roman;sans-serif" w:hAnsi="Times New Roman;sans-serif"/>
          <w:b w:val="false"/>
          <w:color w:val="222222"/>
          <w:sz w:val="20"/>
        </w:rPr>
        <w:t>ongoing</w:t>
      </w:r>
      <w:r>
        <w:rPr>
          <w:color w:val="000000"/>
        </w:rPr>
        <w:t xml:space="preserve"> </w:t>
      </w:r>
      <w:r>
        <w:rPr>
          <w:rFonts w:ascii="Times New Roman;sans-serif" w:hAnsi="Times New Roman;sans-serif"/>
          <w:b w:val="false"/>
          <w:color w:val="000000"/>
          <w:sz w:val="20"/>
        </w:rPr>
        <w:t>international clinical operations and supply chain, as well as any future international expansion and operations and, consequently, our business, financial condition, prospects and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UK has voluntarily departed from the EU, commonly referred to as “Brexit.” We do not know to what extent Brexit will impact the business and regulatory environment in the UK, the EU, or other countries. Changes impacting our ability to conduct business in the UK, or other EU countries, or changes to the regulatory regime in those countries, may impact certain portions of our research and general business operations in the UK and the EU.</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United Kingdom’s withdrawal from the EU may have a negative effect on global economic conditions, financial markets and our business, which could reduce the price of our common stock.*</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Following Brexit, the UK and the EU signed a EU-UK TCA, which became provisionally applicable on January 1, 2021 and entered into force on May 1, 2021. This agreement provides details on how some aspects of the UK and EU’s relationship will operate going forwards however there are still uncertainties. The TCA primarily focuses on ensuring free trade between the EU and the UK in relation to goods, including medicinal products. Among the changes that have occurred are that Great Britain (England, Scotland and Wales) is treated as a “third country,” a country that is not a member of the EU and whose citizens do not enjoy the EU right to free movement. Northern Ireland continues to follow many aspects of the EU regulatory rules, particularly in relation to trade in goods. As part of the TCA, the EU and the UK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However, the EU continues to apply EU laws that require batch testing and batch release to take place in the EU territory. This means that medicinal products that are tested and released in the UK must be retested and re-released when entering the EU market for commercial use.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it relates to marketing authorizations, Great Britain has a separate regulatory submission process, approval process and a separate national marketing authorization. Northern Ireland continues, however, to be covered by the marketing authorizations granted by the European Commission. For example, the scope of a marketing authorization for a medicinal product granted by the European Commission or by the competent authorities of EU Member States no longer encompasses Great Britain (England, Scotland and Wales). In these circumstances, a separate marketing authorization granted by the UK competent authorities is required to place medicinal products on the market in Great Britain. Northern Ireland continues, however, to be covered by the marketing authorizations granted by the European Commission.</w:t>
      </w:r>
    </w:p>
    <w:p>
      <w:pPr>
        <w:pStyle w:val="TextBody"/>
        <w:bidi w:val="0"/>
        <w:spacing w:lineRule="auto" w:line="288" w:before="240" w:after="283"/>
        <w:jc w:val="left"/>
        <w:rPr/>
      </w:pPr>
      <w:r>
        <w:rPr>
          <w:rFonts w:ascii="Times New Roman;sans-serif" w:hAnsi="Times New Roman;sans-serif"/>
          <w:b w:val="false"/>
          <w:color w:val="231F20"/>
          <w:sz w:val="20"/>
        </w:rPr>
        <w:t>On February 27, 2023, the UK Government and the European Commission reached a political agreement on the so-called “Windsor Framework”. The Framework</w:t>
      </w:r>
      <w:r>
        <w:rPr>
          <w:color w:val="000000"/>
        </w:rPr>
        <w:t xml:space="preserve"> </w:t>
      </w:r>
      <w:r>
        <w:rPr>
          <w:rFonts w:ascii="Times New Roman;sans-serif" w:hAnsi="Times New Roman;sans-serif"/>
          <w:b w:val="false"/>
          <w:color w:val="231F20"/>
          <w:sz w:val="20"/>
        </w:rPr>
        <w:t xml:space="preserve">is intended to revise the Northern Ireland Protocol to address some of the perceived shortcomings in its operation. The agreement was adopted at the Withdrawal Agreement Joint Committee on March 24, 2023. If the changes are adopted in the form proposed, </w:t>
      </w:r>
      <w:r>
        <w:rPr>
          <w:rFonts w:ascii="Times New Roman;sans-serif" w:hAnsi="Times New Roman;sans-serif"/>
          <w:b w:val="false"/>
          <w:color w:val="000000"/>
          <w:sz w:val="20"/>
        </w:rPr>
        <w:t xml:space="preserve">medicinal products to be placed on the market in the UK will be authorized solely in accordance with UK laws. </w:t>
      </w:r>
      <w:r>
        <w:rPr>
          <w:rFonts w:ascii="Times New Roman;sans-serif" w:hAnsi="Times New Roman;sans-serif"/>
          <w:b w:val="false"/>
          <w:color w:val="231F20"/>
          <w:sz w:val="20"/>
        </w:rPr>
        <w:t>Northern Ireland would be reintegrated back into a UK-only regulatory environment under the authority of the MHRA with respect to all medicinal products.</w:t>
      </w:r>
      <w:r>
        <w:rPr>
          <w:color w:val="000000"/>
        </w:rPr>
        <w:t xml:space="preserve"> </w:t>
      </w:r>
      <w:r>
        <w:rPr>
          <w:rFonts w:ascii="Times New Roman;sans-serif" w:hAnsi="Times New Roman;sans-serif"/>
          <w:b w:val="false"/>
          <w:color w:val="231F20"/>
          <w:sz w:val="20"/>
        </w:rPr>
        <w:t>The implementation of the Windsor Framework would occur in stages, with new arrangements relating to the supply of medicinal products into Northern Ireland anticipated to take effect in 2025.</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UK regulatory framework in relation to clinical trials is governed by the Medicines for Human Use (Clinical Trials) Regulations 2004, as amended, which is derived from the CTD, as implemented into UK national law through secondary legislation. On January 17, 2022, the MHRA launched an eight-week consultation on reframing the UK legislation for clinical trials, and which aimed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These resulting legislative amendments will determine how closely the UK regulations will align with the CTR. In October 2023, the MHRA announced a new Notification Scheme for clinical trials which enables a more streamlined and risk-proportionate approach to initial clinical trial applications for Phase 4 and low-risk Phase 3 clinical trial applications.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Marketing authorizations in the UK are governed by the Human Medicines Regulations (SI 2012/1916), as amended. The MHRA has also introduced changes to national marketing authorization procedures. This includes introduction of procedures to prioritize access to new medicines that will benefit patients, including a 150-day assessment route, a rolling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review procedure and the International Recognition Procedures which entered into application on January 1, 2024. Since January 1, 2024, the MHRA may rely on the International Recognition Procedure, or IRP, when reviewing certain types of marketing authorization applications. This procedure is available for applicants for marketing authorization who have already received an authorization for the same product from a reference regulator. These include the FDA, the EMA, and national competent authorities of individual EEA countries. A positive opinion from the EMA and CHMP, or a positive end of procedure outcome from the mutual recognition or decentralized procedures are considered to be authorizations for the purposes of the IRP.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There is no pre-marketing authorization orphan designation for medicinal products in the UK. Instead, the MHRA reviews applications for orphan designation in parallel to the corresponding marketing authorization application. The criteria are essentially the same as those in the EU, but have been tailored for the market. This includes the criterion that prevalence of the condition in Great Britain, rather than the EU,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Great Britain.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proportion of the regulatory framework in the UK applicable to medicinal products is currently derived from EU Directives and Regulations. The potential for UK legislation to diverge from EU legislation following Brexit could materially impact the regulatory regime with respect to the development, manufacture, import, approval, and commercialization of our drug candidates in the UK or the EU. If we are slow or unable to adapt to changes in existing requirements or the adoption of new requirements or policies governing clinical trials, our development plans may be impacted.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All of these changes could increase our costs and otherwise adversely affect our business. Any delay in obtaining, or an inability to obtain, any regulatory approvals, as a result of Brexit or otherwise, would prevent us from commercializing our drug candidates in the UK or the EU and restrict our ability to generate revenue and achieve and sustain profitability. In addition, we may be required to pay taxes or duties or be subjected to other hurdles in connection with the importation of our drug candidates into the EU. If any of these outcomes occur, we may be forced to restrict or delay efforts to seek regulatory approval in the UK or the EU for our drug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manage our business effectively if we are unable to attract and retain key personnel and consultants, and the loss of such persons could negatively impact the operations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attract or retain qualified management, finance, scientific and clinical personnel and consultants due to the intense competition for qualified personnel and consultants among biotechnology, pharmaceutical and other businesses or any other circumstances that would cause them no longer to provide their professional services to us in the near future. If we are not able to attract and retain necessary personnel and consultants to accomplish our business objectives, we may experience constraints that will significantly impede the achievement of our development objectives, our ability to raise additional capital and our ability to implement our business strategy. In addition, we may need to adjust the size of our workforce as a result of changes to our expectations for our business, which can result in diversion of management attention, disruptions to our business, and related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previously announced a reduction in force, impacting a number of employees. Any further reduction in force may yield unintended consequences and costs, such as the loss of institutional knowledge and expertise, attrition beyond the intended reduction in force, the distraction of employees, reduced employee morale and could adversely affect our reputation as an employer, which could make it more difficult for us to hire new employees in the future and increase the risk that we may not achieve the anticipated benefits from the cost reduction program.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has experienced a high rate of turnover of management personnel in recent years. Potential changes in management could be disruptive to our business and may also result in our loss of unique skills and loss of knowledge about our business. Such turnover may also result in the departure of other existing employees or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Replacing executive officers, key employees and consultants may be difficult and may take an extended period because of the limited number of individuals in our industry with the breadth of skills and experience required to develop, gain regulatory approval of and commercialize drug candidates successfully. Competition to hire and retain employees and consultants from this limited pool is intense, and we may be unable to hire, train, retain or motivate these additional key personnel and consultants. Our failure to retain or replace key personnel or consultants could materially harm our business. Additionally, the members of our management team have limited experience managing a public company, interacting with public company investors, and complying with the increasingly complex laws, rules and regulations that specifically govern public companies, which could cause our management to have to expend time and resources helping them become familiar with such requirements. We may lose our ability to implement our business strategy successfully and could be seriously harmed. Any of our executive officers or key employees or consultants may terminate their employment at any time.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scientific and clinical advisors and consultants who assist us in formulating our research, development and clinical strategies. These advisors are not our employees and may have commitments to, or consulting or advisory contracts with, other entities that may limit their availability to us. Non-compete agreements are not permissible or are limited by law in certain jurisdictions and, even where they are permitted, these individuals typically will not enter into non-compete agreements with us. If a conflict of interest arises between their work for us and their work for another entity, we may lose their services. In addition, our advisors may have arrangements with other companies to assist those companies in developing drug candidates or technologies that may compete with ours.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and vendors may engage in misconduct or other improper activities, including noncompliance with regulatory standards and requirements and insider trading, which could significantly harm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fraud or other misconduct by our employees, independent contractors, consultants, commercial partners and vendors. Misconduct by these parties could include intentional failures to comply with the regulations of the FDA and non-U.S. regulators, provide accurate information to the FDA and non-U.S. regulators, comply with health care fraud and abuse laws and regulations in the United States and abroad,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those actions could have a significant impact on our business, including the imposition of significant fines or other sanctions.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insurance policies are expensive and only protect us from some business risks, which will leave us exposed to significant uninsured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carry insurance for all categories of risk that our business may encounter. Some of the policies we currently maintain include general liability, products liability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(or perceived 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financial information and (collectively, “sensitive data”). As a result, we and our collaborators are or may become subject to various federal, state, and foreign data protection laws and regulations (i.e., laws and regulations that address privacy and data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numerous federal and state laws and regulations including federal health information privacy laws, state comprehensive consumer privacy laws, state data breach notification laws, state health information privacy laws, and federal and state consumer protection laws that govern the collection, use, disclosure, and protection of health-related and other personal information apply or could apply to our operations or the operations of our collaborators. Similar laws are being considered in various other states, as well as at the federal and local levels, and we expect more states to pass similar laws in the future. These developments may further complicate compliance efforts and increase legal risk and compliance costs for us and the collaborators upon whom we rely. In addition, we may obtain health information from third parties (including research institutions from which we obtain clinical trial data) that are subject to privacy and security requirements under the federal HIPAA as amended by the HITECH. Depending on the facts and circumstances, we could be subject to civil, criminal, and administrative penalties if we violate (or are perceived to violate) HIPAA.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foreign jurisdictions, including the EU, its member states, the United Kingdom and Australia, among others, have also adopted legislation and regulations that increase or change the requirements governing the collection, use, disclosure and transfer of the personal information of individuals in these jurisdictions. These laws, and similar laws being considered in other countries, and regulations are complex and change frequently, at times due to changes in political climate, and existing laws and regulations are subject to different and conflicting interpretations, which adds to the complexity of processing personal data from these jurisdictions. These laws have the potential to increase costs of compliance, risks of noncompliance and penalties for noncompliance.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EU’s GDPR imposes numerous requirements for the collection, use and disclosure of personal information, including more stringent requirements relating to consent and the information that must be shared with data subjects about how their personal information is used, the obligation to notify regulatory authorities and affected individuals of personal data breaches, extensive internal privacy governance obligations, and obligations to honor expanded rights of individuals in relation to their personal information (for example, the right to access, correct and delete their data). In addition, the GDPR generally maintains restrictions on cross-border data transfer, and as a result we may be unable to transfer personal data from Europe and other jurisdictions to the United States or other countries. The GDPR may increase our responsibility and liability in relation to personal data that we process, and may also increase our costs of compliance.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(or perceived failure) to comply with these laws and regulations could result in government enforcement actions (which could include civil, criminal and administrative penalties), private litigation, and/or adverse publicity and could negatively affect our operating results and business. Actual or perceived failure to comply with privacy laws may also cause clinical trial subjects, employees and other individuals about whom we or our potential collaborators obtain personal information, as well as the providers who share this information with us, to limit our ability to collect, use and disclose personal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some foreign jurisdictions, there have been, and continue to be, several legislative and regulatory changes and proposed changes regarding the healthcare system that could prevent or delay marketing approval of drug candidates, restrict or regulate post-approval activities, and affect our ability to profitably sell any drug candidates for which we obtain marketing approval. Among policy makers and payors in the United States and elsewhere, including in the EU,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PPACA substantially changed the way healthcare is financed by both the government and private insurers, and significantly impacts the U.S. pharmaceutical industry.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there have been executive, judicial and Congressional challenges to certain aspects of the PPACA. It is possible that the PPACA will be subject to judicial or Congressional challenges in the future. It is unclear how any such challenges and the healthcare reform measures will impact the PPACA and our business. Other healthcare reform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that may be adopted in the future could have a material adverse effect on our industry generally and on our ability to maintain or increase sales of our existing products that we successfully commercialize or to successfully commercialize our drug candidates, if approved. In addition to the PPACA, there will continue to be proposals by legislators at both the federal and state levels, regulators and third-party payors to keep healthcare costs down while expanding individual healthcare benefits. For example, on August 16, 2022, President Biden signed the IRA into law, which among other things, extends enhanced subsidies for individuals purchasing health insurance coverage in PPACA marketplaces through plan year 2025. The IRA also eliminates the “donut hole” under the Medicare Part D program beginning in 2025 by significantly lowering the beneficiary maximum out-of-pocket cost and through a newly established manufacturer discount program. It is unclear how these or similar policy initiatives will impact the PPACA and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legislative changes have been proposed and adopted since the PPACA was enacted. These changes include aggregate reductions to Medicare payments to providers of up to 2% per fiscal year pursuant to the Budget Control Act of 2011 and subsequent laws, which began in 2013 and, due to subsequent legislative amendments to the statute, will remain in effect until 2032, unless additional Congressional action is taken. New laws may result in additional reductions in Medicare and other healthcare funding, which may adversely affect customer demand and affordability for our drug candidates and, accordingly, the results of our financial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Also, there has been heightened governmental scrutiny recently over the manner in which drug manufacturers set prices for their marketed drug candidates, which has resulted in several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the IRA will, among other things (i) allow HHS to negotiate the price of certain high-expenditure, single-source drugs and biologics covered under Medicare, and subject drug manufacturers to civil monetary penalties and a potential excise tax by offering a price that is not equal to or less than the “negotiated fair price” under the law and (ii) impose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It is currently unclear how the IRA will be effectuated but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these and other healthcare reform measures that may be adopted in the future may result in more rigorous coverage criteria and lower reimbursement, and in additional downward pressure on the price that we receive for any approved drug candidate.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 candidates, once marketing approval is obtained.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successfully commercialize any drugs that we develop depends in part on the extent to which coverage and adequate reimbursement are available from government health administration authorities, private health insurers, and other organizations.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successfully commercialize any drugs that we develop depends in part on the extent to which coverage and adequate reimbursement are available from government health administration authorities, private health insurers, and other organizations. Government authorities and third-party payors, such as private health insurers and health maintenance organizations, each individually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currently impose mandatory discounts for certain patient groups, such as Medicare, Medicaid and VA hospitals, and may seek to increase such discounts at any time. Future regulation may negatively impact the price of our drug candidates, if approved. Increasingly, third-party payors are requiring that drug companies provide them with predetermined discounts from list prices and are challenging the prices charged for medical products. We cannot be sure that coverage or reimbursement will be available for any drug candidate that we commercialize and, if coverage or reimbursement is available, the level of reimbursement. Reimbursement may impact the demand for, or the price of, any drug candidate for which we obtain marketing approval. In order to get coverage and reimbursement, physicians may need to show that patients have superior treatment outcomes with our products compared to standard of care drugs, including lower-priced generic versions of standard of care drugs. It is possible that a third-party payor may consider our drug candidates, once approved, and other therapies as substitutable and only offer to reimburse patients for the less expensive product. Even if we show improved efficacy or improved convenience of administration with our drug candidates, once approved, compared to existing products, pricing of existing products may limit the amount we will be able to charge for our drug candidates. Third-party payors may deny or revoke the reimbursement status of a given drug product or establish prices for new or existing marketed products at levels that are too low to enable us to realize an appropriate return on our investment in product development. Because EryDex is still in development, we are unable at this time to determine the likely level or method of coverage and reimbursement from third-party payors. If reimbursement is not available or is available only to limited levels, we may not be able to successfully commercialize any drug candidate for which we obtain marketing approval. In the United States, no uniform policy of coverage and reimbursement for products exists among third-party payors, and coverage decisions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significant delays in obtaining coverage and reimbursement for newly approved drugs, and coverage may be more limited than the purposes for which the medicine is approved by the FDA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make their determinations independently and may impose additional restrictions.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drug candidates, and our overall financial condition. Further, coverage policies and third-party payor reimbursement rates may change at any time. Therefore, even if favorable coverage and reimbursement status is attained, less favorable coverage policies and reimbursement rates may be implemented in the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coverage and reimbursement status of any drug candidates for which we obtain regulatory approval are provided for by the national laws of EU member states. The requirements may differ across the EU member states. The EU provides options for EU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in order to obtain reimbursement for our products in some European countries, including some EU Member States, we may be required to compile additional data comparing the cost-effectiveness of our products to other available therapies. This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drug candidates that we may successfully develop and for which we may obtain regulatory approval, any anticipated revenue from and growth prospects for those products in the EU could be negatively affected. In light of the fact that the United Kingdom has left the EU, Regulation No 2021/2282 on HTA will not apply in the United Kingdom. However, the UK MHRA is working with UK HTA bodies and other national organizations, such as the Scottish Medicines Consortium, the National Institute for Health and Care Excellence, and the All-Wales Medicines Strategy Group, to introduce new pathways supporting innovative approaches to the safe, timely and efficient development of medicinal products.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Interim, top-line and preliminary data from our future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publicly disclose preliminary or top-line data from our future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report interim analyses of only certain endpoints rather than all endpoints. Interim data from future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Even if we obtain regulatory approval for a drug candidate, it will remain subject to extensive ongoing regulatory review and requirements.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future drug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manufacturers’ facilities are required to comply with extensive requirements imposed by the FDA and comparable foreign regulatory authorities, including ensuring that quality control and manufacturing procedures conform to GMPs regulations. As such, we and our contract manufacturers will be subject to continual review and inspections to assess compliance with GMP and adherence to commitments made in any NDA. Accordingly, we and others with whom we work must continue to expend time, money, and effort in all areas of regulatory compliance, including manufacturing, production and quality control. We also are required to register our establishments and list our products with the FDA and certain state agencies. We and any third party manufacturers or suppliers must continually adhere to federal regulations setting forth GMP (for drugs) and QSR (for medical devices), and their foreign equivalents, which are enforced by the FDA and other national regulatory bodies through their facilities inspection programs. In complying with 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authorities and the regulatory agencies of other countries have similar requirements. In addition, we will be required to comply with regulatory requirements of the FDA, state regulatory agencies and the regulatory agencies of other countries concerning the reporting of AEs and device malfunctions, corrections and removals (e.g., recalls), promotion and advertising and general prohibitions against the manufacture and distribution of adulterated and misbranded devices.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regulatory requirements could result in enforcement actions, including, but not limited to, significant civil fines, product seizures, injunctions and/or criminal prosecution of responsible individuals and us. Any such actions would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manufacturers’ facilities are required to comply with extensive requirements imposed by the FDA and comparable foreign regulatory authorities, including ensuring that quality control and manufacturing procedures conform to GMPs regulations. As such, we and our contract manufacturers will be subject to continual review and inspections to assess compliance with GMP and adherence to commitments made in any NDA or comparable foreign application. Accordingly, we and others with whom we work must continue to expend time, money, and effort in all areas of regulatory compliance, including manufacturing, production and quality control.</w:t>
      </w:r>
    </w:p>
    <w:p>
      <w:pPr>
        <w:pStyle w:val="TextBody"/>
        <w:bidi w:val="0"/>
        <w:spacing w:lineRule="auto" w:line="288" w:before="240" w:after="283"/>
        <w:jc w:val="left"/>
        <w:rPr/>
      </w:pPr>
      <w:r>
        <w:rPr>
          <w:rFonts w:ascii="Times New Roman;sans-serif" w:hAnsi="Times New Roman;sans-serif"/>
          <w:b w:val="false"/>
          <w:color w:val="000000"/>
          <w:sz w:val="20"/>
        </w:rPr>
        <w:t xml:space="preserve">Any regulatory approvals that we receive for our potential drug candidates will be subject to limitations on the approved indicated uses for which the drug candidate may be marketed and promoted or to the conditions of approval (including the potential for a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Any new legislation addressing drug safety issues could result in delays in drug development or commercialization, or increased costs to assure compliance. The FDA and other agencies, including the Department of Justice, as well as foreign regulatory authorities closely regulate and monitor the post-approval marketing and promotion of drug candidates to ensure that they are manufactured, marketed and distributed only for the approved indications and in accordance with the provisions of the approved labeling. We will have to comply with requirements concerning advertising and promotion for our potential drug candidates and any products for which we receive approval. Promotional communications with respect to prescription drugs are subject to a variety of legal and regulatory restrictions and must be consistent with the information in the drug candidate’s approved label. As such, we may not promote our potential drug candidates for indications or uses for which they do not have approval. </w:t>
      </w:r>
      <w:r>
        <w:rPr>
          <w:rFonts w:ascii="Times New Roman;sans-serif" w:hAnsi="Times New Roman;sans-serif"/>
          <w:b w:val="false"/>
          <w:color w:val="231F20"/>
          <w:sz w:val="20"/>
        </w:rPr>
        <w:t xml:space="preserve">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w:t>
      </w:r>
      <w:r>
        <w:rPr>
          <w:rFonts w:ascii="Times New Roman;sans-serif" w:hAnsi="Times New Roman;sans-serif"/>
          <w:b w:val="false"/>
          <w:color w:val="000000"/>
          <w:sz w:val="20"/>
        </w:rPr>
        <w:t>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holder of an approved NDA or equivalent foreign application must submit new or supplemental applications and obtain approval for certain changes to the approved drug candidate labeling, or manufacturing process. We could also be asked to conduct post-marketing clinical trials to verify the safety and efficacy of our potential drug candidates in general or in specific patient subsets. If original marketing approval was obtained via the accelerated approval pathway, we could be required to conduct a successful post-marketing clinical trial to confirm clinical benefit for our drug candidates. An unsuccessful post-marketing study or failure to complete such a study could result in the withdrawal of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regulatory authority discovers previously unknown problems with a drug or device, such as AEs of unanticipated severity or frequency, or problems with the facility where the drug candidate is manufactured, or disagrees with the promotion, marketing or labeling of a drug candidate, including if approved, such regulatory authority may impose restrictions on that drug candidate, an approved drug, or us, including requiring withdrawal of the approved drug from the market. If we fail to comply with applicable regulatory requirements, a regulatory authority or enforcement authority may, among other things: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issue warning or untitled letters that would result in adverse publicity;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impose civil or criminal penalties;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suspend, vary or withdraw regulatory approvals;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suspend any of our ongoing clinical trials;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mandate modifications to promotional materials or require us to provide corrective information to healthcare practitioners;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require us to enter into a consent decree or permanent injunction, which can include imposition of various fines, reimbursements for inspection costs, required due dates for specific actions and penalties for noncompliance;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refuse to approve pending applications or supplements to approved applications submitted by us;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impose restrictions on our operations, including closing our contract manufacturers’ facilities;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seize or detain drug candidates or approved drugs; 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require a drug candidate or approved drugs recall.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drug candidates. If regulatory sanctions are applied or if regulatory approval is suspended, varied or withdrawn, the value of our company and our operating results will be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 Fast Track designation by the FDA, such as the Fast Track designations received for EryDex, does not guarantee marketing approval and may not lead to a faster development, regulatory review or approval process.*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2024, the FDA granted Fast Track designation for our EryDex System for the treatment of patients with A-T. Fast Track designation provides opportunities for frequent interactions with FDA review staff, as well as eligibility for priority review, if relevant criteria are met, and rolling review of the sponsor’s NDA. Fast Track designation is intended to facilitate and expedite development and review of an NDA to address unmet medical needs in the treatment of serious or life-threatening conditions. However, Fast Track designation does not accelerate conduct of clinical trials or mean that the regulatory requirements are less stringent, nor does it ensure that any potential EryDex NDA will be approved or that any approval will be granted within any particular timeframe. In addition, the FDA may withdraw Fast Track designation for any indication if it believes that the designation is no longer supported by data emerging from the EryDex clinical development program.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obtain and retain orphan drug designations for some of our drug candidates or to maintain the benefits associated with orphan drug designation status, including market exclusivity, which may cause our revenue, if any, to be reduced.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authorities in some jurisdictions, including the United States and the EU, may designate drugs for relatively small patient populations as orphan drugs. Under the Orphan Drug Act, the FDA may grant orphan drug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pPr>
      <w:r>
        <w:rPr>
          <w:rFonts w:ascii="Times New Roman;sans-serif" w:hAnsi="Times New Roman;sans-serif"/>
          <w:b w:val="false"/>
          <w:color w:val="000000"/>
          <w:sz w:val="20"/>
        </w:rPr>
        <w:t>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In the EU, the European Commission, following an opinion from the EMA’s Committee for Orphan Medicinal Products may grant orphan drug designation to promote the development of products (i) that are intended for the diagnosis, prevention, or treatment of a life-threatening or chronically debilitating conditions; (ii) either such conditions affect not more than five in 10,000 persons in the EU community, or without incentives, it is unlikely that sales of the drug in the EU would be sufficient to justify the necessary investment in developing the drug or biological product; and (iii) there exists no satisfactory authorized method of diagnosis, prevention, or treatment of the condition that has been authorized in the EU, or even if such method exists, the product will be of significant benefit to those affected by that condition. In the EU, orphan drug designation provides a range of potential incentives for medicinal products that have been granted an orphan designation by the European Commission, including protocol assistance, access to the centralized authorization procedure</w:t>
      </w:r>
      <w:r>
        <w:rPr>
          <w:color w:val="000000"/>
        </w:rPr>
        <w:t xml:space="preserve"> </w:t>
      </w:r>
      <w:r>
        <w:rPr>
          <w:rFonts w:ascii="Times New Roman;sans-serif" w:hAnsi="Times New Roman;sans-serif"/>
          <w:b w:val="false"/>
          <w:color w:val="000000"/>
          <w:sz w:val="20"/>
        </w:rPr>
        <w:t>and fee reductions.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indication for seven years, except in limited circumstances such as a showing of clinical superiority to the product with orphan product exclusivity or if the FDA finds that the holder of the orphan product exclusivity has not shown that it can assure the availability of sufficient quantities of the orphan drug to meet the needs of patients with the disease or condition for which the drug was designated. A product may obtain orphan drug exclusivity for each indication that has been designated upon approval of the indication, subject to the qualifications above. Any orphan drug exclusivity granted for second or subsequent indications applies only to those subsequent indications and does not block approval of a product for the first indication once the initial period of exclusivity has expired. Moreover, even if one of our drug candidates receives orphan product exclusivity, the FDA can still approve other drugs that have a different active ingredient for use in treating the same indication or disease.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EU,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 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received orphan drug designation by the FDA and European Commission for EryDex for the treatment of A-T. We may seek orphan drug designation in the United States, the EU and other European countries for additional orphan indications in which there is a medically plausible basis, including other rare diseases. In the future, exclusive marketing rights in the United States, if granted, may be limited if we seek approval for an indication broader than the orphan drug designated indication and may be lost if the FDA later determines that the request for the orphan drug designation was materially defective or if the manufacturer is unable to assure sufficient quantities of the product to meet the needs of patients with the rare disease or condition. In addition, although we have sought or intend to seek orphan drug designation, we may never receive approval for such designations.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healthcare laws, we could face substantial penalties and our business, operations and financial condition could be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federal and state fraud and abuse and other healthcare laws. The laws that may impact our operations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federal civil and criminal false claims laws, including the False Claims Act, and civil monetary penalty laws, which impose criminal and civil penalties, including through civil “qui tam” or “whistleblower” actions, against individuals or entities from, among other things,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federal HIPAA, which created new federal criminal statutes that prohibit,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HIPAA, as amended by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federal Physician Payment Sunshine Act, created under the PPACA, and its implementing regulations, which require certain manufacturers of drugs, devices, biologics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federal consumer protection and unfair competition laws, which broadly regulate marketplace activities and activities that potentially harm consumers;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and foreign laws that require pharmaceutical companies to comply with the pharmaceutical industry’s voluntary compliance guidelines and the relevant compliance guidance promulgated by the government that otherwise restricts payments that may be made to healthcare providers and other potential referral sources; state and foreign laws that require the registration of sales representatives; state and foreign laws that require drug manufacturers to file reports with states or foreign regulatory authorities regarding pricing and marketing information, such as the tracking and reporting of gifts, compensations and other remuneration and items of value provided to healthcare professionals and entities; and state and foreign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governing the privacy and security of health information in certain circumstances, many of which differ from each other in significant ways and may not have the same effect, thus complicating compliance efforts.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and the narrowness of the statutory exceptions and safe harbors available, it is possible that some of our business activities, including compensating physicians with stock or stock options,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those actions could have a significant impact on our business, including the imposition of civil, criminal and administrative penalties, damages, disgorgement, monetary fines, possible exclusion from participation in Medicare, Medicaid and other federal healthcare programs, imprisonment,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if approved, outside the United States will also likely subject us to foreign equivalents of the healthcare laws mentioned above and comparable risks, among other foreign laws.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subject to substantial government regulation that is subject to change and could force us to make modifications to how we develop, manufacture, market, and price our products in the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regulated extensively by governmental authorities, principally the FDA in the U.S. and corresponding state and foreign regulatory authorities. The majority of our manufacturing processes are required to comply with quality systems regulations, including GMP requirements that cover the methods and documentation of the design, testing, production, control, quality assurance, labeling, packaging and shipping of our products. Failure to comply with applicable medical device regulatory requirements could result in, among other things, warning letters, fines, injunctions, civil penalties, repairs, replacements, refunds, recalls or seizures of products, total or partial suspensions of production, refusal of the FDA or comparable foreign regulatory authorities and notified bodies to grant pre-market clearances or approvals for our products or issue CE Certificated of Conformity in the EU, withdrawals, or suspensions of future or current clearances or approvals and criminal prosecution.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products are subject to pre-clearance requirements by the FDA, similar regulatory authorities outside the United States, and notified bodies that govern a wide variety of product activities from design and development to labeling, manufacturing, promotion, sales, and distribution. Compliance with these regulations may be time consuming, burdensome, and expensive for us. The failure to obtain, or the loss or suspension of any such pre-approval or CE Certificate of Conformity in the EU, would negatively affect our ability to sell our products and harm our anticipated revenues.</w:t>
      </w:r>
    </w:p>
    <w:p>
      <w:pPr>
        <w:pStyle w:val="TextBody"/>
        <w:bidi w:val="0"/>
        <w:spacing w:lineRule="auto" w:line="288" w:before="240" w:after="283"/>
        <w:jc w:val="left"/>
        <w:rPr/>
      </w:pPr>
      <w:r>
        <w:rPr>
          <w:rFonts w:ascii="Times New Roman;sans-serif" w:hAnsi="Times New Roman;sans-serif"/>
          <w:b w:val="false"/>
          <w:color w:val="000000"/>
          <w:sz w:val="20"/>
        </w:rPr>
        <w:t>Foreign governmental authorities that regulate the manufacture and sale of medical devices have become increasingly stringent and, to the extent we sell our products in foreign countries, we may be subject to rigorous regulation in the future. Regulatory changes could result in restrictions on our ability to carry on or expand our operations, higher than anticipated costs or lower than anticipated revenue</w:t>
      </w:r>
      <w:r>
        <w:rPr>
          <w:rFonts w:ascii="Times New Roman;sans-serif" w:hAnsi="Times New Roman;sans-serif"/>
          <w:b w:val="false"/>
          <w:color w:val="131313"/>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policies of the FDA and of comparable foreign regulatory authorities may change and additional government regulations may be enacted that could prevent, limit or delay regulatory approval of our potential drug candidates. We cannot predict the likelihood, nature or extent of government regulation that may arise from future legislation or administrative action, either in the United States or abroad. For instance, the regulatory landscape related to clinical trials in the EU recently evolved. The CTR is intended to harmonize and streamline clinical trial authorizations,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or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extent to which on-going clinical trials will be governed by the CTR will depend on the duration of the individual clinical trial. For clinical trials in relation to which an application for approval was made on the basis of the CTD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all cases, clinical trials must be conducted in accordance with GCP and the applicable regulatory requirements and the ethical principles that have their origin in the Declaration of Helsinki. Medicines used in clinical trials must be manufactured in accordance with the guidelines on GMP and in a GMP licensed facility, which can be subject to GMP inspections.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opportunities for our drug candidates in the EU and make them open to generic or biosimilar competition earlier than is currently the case with a related reduction in reimbursement status.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slow or unable to adapt to changes in existing requirements or the adoption of new requirements or policies, or if we are not able to maintain regulatory compliance, we may lose any future marketing approval that we may have obtained and we may not achieve or sustain profitability, which would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applicable environmental laws and regulations may be expensive, and current or future environmental laws and regulations may impair our research, drug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activities may be subject to the FCPA and similar anti-bribery and anti-corruption laws.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activities may be subject to the FCPA and similar anti-bribery or anti-corruption laws, regulations or rules of other countries in which we may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is no certainty that all of our employees, agents, contractors,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drug candidates in one or more countries and could materially damage our reputation, our brand, our international expansion efforts, our ability to attract and retain employees, and our business, prospects,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Any collaboration arrangements that we may enter into in the future may not be successful, which could adversely affect our ability to develop and commercialize potential future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consider collaboration arrangements with pharmaceutical or biotechnology companies for the development or commercialization of drug candidates depending on the merits of retaining or divesting some or all commercialization rights. We will face, to the extent that we decide to enter into collaboration agreements, significant competition 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collaborators have significant discretion in determining the efforts and resources that they will apply to collaborations;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collaborators may not pursue development and commercialization of our drug candidates or may elect not to continue or renew development or commercialization programs based on clinical trial results, changes in their strategic focus due to the acquisition of competitive drug candidates, availability of funding or other external factors, such as a business combination that diverts resources or creates competing priorities;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abandon a drug candidate, repeat or conduct new clinical trials or require a new formulation of a drug candidate for clinical testing;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collaborators could independently develop, or develop with third parties, drug candidates that compete directly or indirectly with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collaborator with marketing, manufacturing and distribution rights to one or more drug candidates may not commit sufficient resources to or otherwise not perform satisfactorily in carrying out these activities;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could grant exclusive rights to our collaborators that would prevent us from collaborating with others;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disputes may arise between us and a collaborator that causes the delay or termination of the research, development or commercialization of our current or future drug candidates or that results in costly litigation or arbitration that diverts management attention and resources;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collaborations may be terminated, and, if terminated, may result in a need for additional capital to pursue further development or commercialization of the applicable current or future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collaborators may own or co-own intellectual property covering our drug candidates that results from our collaborating with them, and in such cases, we would not have the exclusive right to develop or commercialize such intellectual property;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collaborator’s sales and marketing activities or other operations may not be in compliance with applicable laws resulting in civil or criminal proceedings.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Intellectual Property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for our current drug candidates, any future drug candidates, and other proprietary technology we develop, or if the scope of the intellectual property protection is not sufficiently broad, our competitors could develop and commercialize drug candidates similar or identical to ours, and our ability to successfully commercialize our current drug candidate, if approved, any future drug candidates, and other proprietary technologies if approved, may be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will depend in part on obtaining and maintaining a combination of patent protection, trade secret protection and confidentiality agreements to protect the intellectual property related to our current and future drug candidates and the methods used to manufacture them, as well as successfully defending these patents against third-party challenges. Our ability to stop third parties from making, using, selling, offering to sell or importing our drug candidates is dependent upon the extent to which we have rights under valid and enforceable patents or trade secrets that cover these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issued patents that we currently own, or in patents that may issue from the applications we currently or may in the future own or license from third parties. Further, if any patents we obtain or license are deemed invalid and unenforceable, our ability to commercialize or license our technology could be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may have filed, and in the future are likely to file, patent applications covering drug candidates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Only limited protection may be available and may not adequately protect our rights or permit us to gain or keep any competitive advantage. If we do not adequately protect our intellectual property and proprietary technology, competitors may be able to use our current or future drug candidates and proprietary technologies and erode or negate any competitive advantage we may have, which could have a material adverse effect on our financial condition and results of operations. For example: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others may be able to make compounds that are similar to our drug candidates but that are not covered by the claims of our patents;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might not have been the first to make the inventions covered by our pending patent applications;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might not have been the first to file patent applications for these inventions;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patents that we obtain may not provide us with any competitive advantages;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develop additional proprietary technologies that are patentable;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would significantly harm our business, results of operations and prospects.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applied, and we intend to continue applying, for patents covering aspects of our current drug candidates and device, any future drug candidates, any future improvements on the device or other proprietary technologies and their uses that we deem appropriate. However, we may not be able to apply for patents on certain aspects of our current or future drug candidates, proprietary technologies and their uses in a timely fashion, at a reasonable cost, in all jurisdictions, or at all, and any potential patent coverage we obtain may not be sufficient to prevent substantial competition.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Without patent protection on our current or future drug candidates, our ability to assert our patents to stop others from using or selling our current or future drug candidates may be limited. Due to the patent laws of a country, or the decisions of a patent examiner in a country, or our own filing strategies, we may not obtain patent coverage for all of our current or future drug candidates or methods involving the use of these candidates in a particular patent application. We plan to pursue divisional patent applications or continuation patent applications in the United States and other countries, where applicable, to obtain claim coverage for inventions which were disclosed but not claimed in a particular parent patent application.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patent application process is subject to numerous risks and uncertainties, and there can be no assurance that we or any of our actual or potential future collaborators will be successful in protecting our current drug candidates, any future drug candidate, and other proprietary technologies and their uses by obtaining, defending, and enforcing patents. These risks and uncertainties include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U.S.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patent applications may not result in any patents being issued;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patents that may be issued or in-licensed may be challenged, invalidated, modified, revoked, circumvented, found to be unenforceable or otherwise may not provide any competitive advantage;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compounds, compositions of matter, or methods, or formulations, or by claiming subject matter that could dominate our patent position;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successful opposition to any patents owned by or licensed to us could deprive us of rights necessary to prevent others from practicing our technologies or to successfully commercialize any drug candidates that we may develop;</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because patent applications in the United States and most other countries are confidential for a period of time after filing, we cannot be certain that we or our licensors were the first to file any patent application related to our current drug candidates, any future drug candidates, and other proprietary technologies and their uses;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 interference proceeding can be provoked by a third party or instituted by the USPTO to determine who was the first to invent any of the subject matter covered by the patent claims of applications we may in-license which have an effective filing date before March 16, 2013;</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countries other than the United States may have patent laws less favorable to patentees than those upheld by U.S. courts, allowing foreign competitors a better opportunity to create, develop and market competing drug candidates in those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 We may also rely on trade secrets to protect our technology, especially where we do not believe patent protection is appropriate or feasible.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licensors, which could be expensive, time consuming, and unsuccessful. Further, our issued patents could be found invalid or unenforceable if challenged in court, and we may incur substantial costs as a result of litigation or other proceedings relating to patent and other intellectual property rights.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including competitors, may infringe, misappropriate or otherwise violate our patents, patents that may issue to us in the future, or the patents of our licensors that are licensed to us. To counter infringement or unauthorized use, we may need to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 If we choose to go to court to stop another party from using the inventions claimed in any patents we obtain, that individual or company has the right to ask the court to rule that such patents are invalid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non-U.S. patent offices and may result in the revocation, cancellation, or amendment of any non-U.S.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one or more drug candidates. Such a loss of patent protection would have a material adverse impact on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lawsuits are expensive and would consume time and resources and divert the attention of managerial and scientific personnel even if we were successful in stopping the infringement of such patents. In addition, there is a risk that the court will decide that such patents are not valid and that we do not have the right to stop the other party from using the claimed inventions. There is also the risk that, even if the validity of such patents is upheld, the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of any patents we obtain or license.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current and any future drug candidates to market.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enforce our patent rights depends on our ability to detect infringement. It may be difficult to detect infringers who do not advertise the components or methods that are used in connection with their drug candidates. Moreover, it may be difficult or impossible to obtain evidence of infringement in a competitor’s or potential competitor’s drug candidate. We may not prevail in any lawsuits that we initiate, and the damages or other remedies awarded if we were to prevail may not be commercially meaningful.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proceedings to enforce or defend our patents, including those of our licensor’s,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drug candidates are invalidated or found unenforceable, or if a court found that valid, enforceable patents held by third parties covered one or more of our drug candidates, our competitive position could be harmed or we could be required to incur significant expenses to enforce or defend our rights. If we initiate lawsuits to protect or enforce our patents, or litigate against third party claims, such proceedings would be expensive and would divert the attention of our management and technical personnel.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infringe the intellectual property rights of others, which may prevent or delay our drug development efforts and stop us from commercializing or increase the costs of commercializing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operate without infringing the intellectual property rights of third parties. We cannot guarantee that our drug candidates, or manufacture or use of our drug candidates, will not infringe third-party patents.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 third party may claim that we or our manufacturing or commercialization collaborators are using inventions covered by the third party’s patent rights and may go to court to stop us from engaging in our normal operations and activities, including making or selling our drug candidates. These lawsuits are costly and could affect our results of operations and divert the attention of managerial and scientific personnel. There is a risk that a court would decide that we or our commercialization collaborators are infringing the third party’s patents and would order us or our collaborators to stop the activities covered by the patents. In that event, we or our commercialization collaborators may not have a viable way around the patent and may need to halt commercialization of the relevant drug candidate. In addition, there is a risk that a court will order us or our collaborators to pay the other party damages for having violated the other party’s patents. 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our collaborators may infringe the intellectual property rights of third parties, which may expose us to litigation and potential liability. In the future, we may agree to indemnify our collaborators against certain intellectual property infringement claims brought by third parties. The pharmaceutical and biotechnology industries have produced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proliferation of patents, and it is not always clear to industry participants, including us, which patents cover various types of drug candidates or methods of use. The coverage of patents is subject to interpretation by the courts, and the interpretation is not always uniform.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claims of patent infringement asserted by third parties would be time consuming and could: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result in costly litigation;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divert the time and attention of our technical personnel and management;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cause development delays;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prevent us from out-licensing or commercializing EryDex, or our other drug candidates until the asserted patent expires or is finally held invalid, unenforceable, or not infringed in a court of law;</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require us to develop non-infringing technology, which may not be possible on a cost-effective basis;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require us to pay the attorney’s fees and costs of litigation to the party whose intellectual property rights we may be found to be infringing; and/or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require us to enter into royalty or licensing agreements, which may not be available on commercially reasonable terms, or at all.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sued for patent infringement, we would need to demonstrate that our drug candidates or methods either do not infringe the patent claims of the relevant patent or that the patent claims are invalid or unenforceable, and we may not be able to do this. Proving invalidity or unenforceability is difficult.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our drug candidates to market and be precluded from manufacturing or selling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routinely conduct independent reviews of pending patent applications of and patents issued to third parties. We cannot be certain that others have not filed patent applications for technology covered by our pending applications, or that we were the first to invent the technology, because: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some patent applications in the United States may be maintained in secrecy until the patents are issued;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patent applications in the United States and elsewhere can be pending for many years before issuance, or unintentionally abandoned patents or applications can be revived;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pending patent applications that have been published can, subject to certain limitations, be later amended in a manner that could cover our technologies, our drug candidates or the use of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patent applications in the United States are typically not published until 18 months after the priority date;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publications in the scientific literature often lag behind actual discoveries.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our drug candidates. Further, we may incorrectly determine that our technologies, or drug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may have filed, and may in the future file, patent applications covering technology similar to ours, and others may have or obtain patents or proprietary rights that could limit our ability to make, use, sell, offer for sale or import our drug candidates and future approved products or impair our competitive position. Numerous third-party U.S. and foreign issued patents and pending patent applications exist in the fields in which we are developing drug candidates. There may be third-party patents or patent applications with claims to compositions, formulations, methods of manufacture or methods for treatment related to the use or manufacture of our drug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the biotechnology industry expands and more patents are issued, the risk increases that our drug candidates may be subject to claims of infringement of the patent rights of third parties. There can be no assurance that our operations do not, or will not in the future, infringe existing or future third-party patents.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drug candidates in any jurisdiction.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provide any assurances that third-party patents do not exist which might be enforced against our current technology, including our research programs, drug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governmental fees on any issued patents and/or pending applications are due to be paid to the USPTO and various governmental patent agencies outside of the United States in several stages over the lifetime of the patents and/or applications. We have systems in place to remind us to pay these fees, and we employ an outside firm to pay these fees due to the USPTO and non-U.S.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If we license intellectual property, we may have to rely upon our licensors to comply with these requirements and effect payment of these fees with respect to any patents and patent applications that we license.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that our employees have wrongfully used or disclosed alleged trade secrets of their former employers. If we are not able to adequately prevent disclosure of trade secrets and other proprietary information, the value of our technology and drug candidate could be significantly diminished.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is common in the biotechnology and pharmaceutical industries,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We may also be subject to claims that former employees, or other third parties have an ownership interest in our patents or other intellectual property.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defend against these claims. If we fail in defending any such claims, in addition to paying monetary damages, we may lose valuable intellectual property rights, which could adversely affect our business. Even if we are successful in defending against these claims, litigation could result in substantial costs and be a distraction to management.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 assignment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drug candidates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Enforcing a claim that a party illegally disclosed or misappropriated a trade secret is difficult, expensive and time- 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could over time be disseminated within the industry through independent development, the publication of journal articles and the movement of personnel skilled in the art from company to company or academic to industry scientific positions.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drug candidates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 the future, we may need to obtain licenses of third-party technology that may not be available to us or are available only on commercially unreasonable terms, and which may cause us to operate our business in a more costly or otherwise adverse manner that was not anticipated.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required to license technology from third parties to further develop or commercialize our drug candidates. Should we be required to obtain licenses to any third-party technology, including any such patents required to manufacture, use or sell our drug candidates, such licenses may not be available to us on commercially reasonable terms, or at all. The inability to obtain any third-party license required to develop or commercialize any of our drug candidates could cause us to abandon any related efforts, which could seriously harm our business and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in compliance with applicable laws and regulations, which may affect the validity and enforceability of such patents or any patents that may issue from such applications. Moreover, if we do obtain necessary licenses, we will likely have obligations under those licenses, including making royalty and milestone payments, and any failure to satisfy those obligations could give our licensor the right to terminate the license.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are found to be invalid or unenforceable, or if we are unable to enter into necessary licenses on acceptable terms. Furthermore, if any exclusive licenses terminate, or if the underlying patents fail to provide the intended exclusivity, competitors or other third parties may gain the freedom to seek regulatory approval of, and to market, drug candidates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drug candidates, if any, the amounts may be significant. The amount of our future royalty obligations will likely depend on the technology and intellectual property we use in drug candidates that we successfully develop and commercialize, if any. Therefore, even if we successfully develop and commercialize drug candidates, we may be unable to achieve or maintain profitability.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others may be able to make drug candidates that are similar to ours but that are not covered by the claims of the patents that we own;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or future collaborators might not have been the first to make the inventions covered by the issued patent or pending patent application that we own or have exclusively licensed;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or future collaborators might not have been the first to file patent applications covering certain of our inventions;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drug candidates for sale in our major commercial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cannot ensure that any of our patents, or any of our pending patent applications, if issued, or those of our licensors, will include claims having a scope sufficient to protect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cannot ensure that any patents issued to us or our licensors will provide a basis for an exclusive market for our commercially viable drug candidates or will provide us with any competitive advantages;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cannot ensure that our commercial activities or drug candidates will not infringe upon the patents of others;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cannot ensure that we will be able to successfully commercialize our drug candidates on a substantial scale, if approved, before the relevant patents that we own or license expire;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develop additional proprietary technologies that are patentable;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would significantly harm our business, results of operations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of the expense and uncertainty of litigation, we may not be in a position to enforce our intellectual property rights against third parties.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Our competitors or other third parties may be able to sustain the costs of complex patent litigation or proceedings more effectively than we can because of their greater financial resources and more mature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In such cases, we may decide that the more prudent course of action is to simply monitor the situation or initiate or seek some other non-litigious action or solution.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are of national or regional effect, and filing, prosecuting and defending patents on all of our drug candidates throughout the world would be prohibitively expensive, and our intellectual property rights in some countries outside the United States can be less extensive than those in the United States. As such, we may not be able to prevent third parties from practicing our inventions in all countries outside the United States, or from selling or importing drug candidates made using our inventions in and into the United States or other jurisdictions. Further,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drug candidates in violation of our proprietary rights generally. In addition, certain developing countries, including China and India, have compulsory licensing laws under which a patent owner may be compelled to grant licenses to third parties. In addition, some countries limit the enforceability of patents against third parties, including government agencies or government contractors. In these countries, patents may provide limited or no benefit, and in those countries, we and our licensors and licensees may have limited remedies if patents are infringed or if we or our licensors or licensees are compelled to grant a license to a third party, which could diminish the value of those patents. This could limit our potential revenue opportunities. Further, competitors may use our technologies in jurisdictions where we have not obtained patent protection to develop their own drug candidates and, further, may export otherwise infringing drug candidates to territories where we have patent protection but where enforcement is not as strong as that in the United States. These drug candidates may compete with our drug candidates, and our patents or other intellectual property rights may not be effective or sufficient to prevent them from competing.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Europe, beginning June 1, 2023, European applications and patent may be subjected to the jurisdiction of the UPC. Also, European applications will have the option, upon grant of a patent, of becoming a Unitary Patent which will be subject to the jurisdiction of the UPC. This will be a significant change in European patent practice. As the UPC is a new court system, there is no precedent for the court, increasing the uncertainty. As a single court system can invalidate a European patent, we, where applicable may opt out of the UPC and as such, each European patent would need to be challenged in each individual country.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United States and other jurisdictions could diminish the value of patents in general, thereby impairing our ability to protect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biotechnology companies, our success is heavily dependent on intellectual property, particularly patents. Our patent rights may be affected by developments or uncertainty in U.S. or non-U.S. patent statutes, patent case laws in USPTO rules and regulations or in the rules and regulations of non-U.S. patent offices.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Recent patent reform legislation in the United States and other countries, including the AIA, signed into law on September 16, 2011, could increase those uncertainties and costs surrounding the prosecution of our patent applications and the enforcement or defense of our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AIA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parties review, and derivation proceedings. After March 2013, under the AIA,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In addition, Congress may pass patent reform legislation that is unfavorable to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narrowing the scope of patent protection available in certain circumstances and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become subject to claims challenging the inventorship or ownership of our patents and other intellectual property.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that former employees, collaborators or other third parties have an interest in our patents, trade secrets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unsuccessful in executing agreements assigning such intellectual property to us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drug candidates for an adequate amount of time, and if we do not obtain patent term extension for our drug candidates, our business may be materially harmed.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Patent rights are of limited duration. In the United States, the natural expiration of a patent is generally 20 years after its first effective non-provisional filing date. In addition, although upon issuance a U.S.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drug candidates, patents protecting such candidates might expire before or shortly after such drug candidates are commercialized. Even if patents covering our drug candidates are obtained, once the patent life has expired for a drug candidate, we may be open to competition from generic products. A patent term extension of up to five years based on regulatory delay may be available in the United States under the Hatch- Waxman Act. However, only a single patent can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extended for each marketing approval, and any patent can be extended only once, for a single drug candidate. Moreover, the scope of protection during the period of the patent term extension does not extend to the full scope of the claim, but instead only to the scope of the drug candidate as approved. Further, a patent term extension cannot extend the remaining term of a patent beyond a total of 14 years from the date of drug candidate approval and only those claims covering such approved drug candidate, a method for using it or a method for manufacturing it may be extended. Laws governing analogous patent term extensions in foreign jurisdictions vary widely, as do laws governing the ability to obtain multiple patents from a single patent family.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drug candidate will be shortened and our competitors may obtain approval of competing drug candidates following our patent expiration, and our revenue could be reduced.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or future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Moreover, any name we have proposed to use with our drug candidate in the United States must be approved by the FDA, regardless of whether we have registered it, or applied to register it, as a trademark. Similar requirements exist in Europe. The FDA typically conducts a review of proposed drug candidate names, including an evaluation of potential for confusion with other drug candidate names. If the FDA (or an equivalent administrative body in a foreign jurisdiction) objects to any of our proposed proprietary drug candidate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cannot ensure that patent rights relating to inventions described and claimed in our pending patent applications will issue or that patents based on our patent applications will not be challenged and rendered invalid and/or unenforceable.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patent application process is subject to numerous risks and uncertainties, and there can be no assurance that we or any of our potential future collaborators will be successful in protecting our drug candidates by obtaining and defending patents. We have pending U.S. and foreign patent applications in our portfolio; however, we cannot predict: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and when patents may issue based on our patent applications;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scope of protection of any patent issuing based on our patent applications;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whether the claims of any patent issuing based on our patent applications will provide protection against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whether or not third parties will find ways to invalidate or circumvent our patent rights;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whether or not others will obtain patents claiming aspects similar to those covered by our patents and patent applications;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whether we will need to initiate litigation or administrative proceedings to enforce and/or defend our patent rights which will be costly whether we win or lose;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whether the patent applications that we own or in-license will result in issued patents with claims that cover our drug candidates or uses thereof in the United States or in other foreign countries; and/or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whether we may experience patent office interruption or delays to our ability to timely secure patent coverage to our drug candidates.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the claims in our pending patent applications directed to our drug candidates and/or technologies will be considered patentable by the USPTO or by patent offices in foreign countries. There can be no assurance that any such patent applications will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drug candidates is threatened, it could dissuade companies from collaborating with us to develop and threaten our ability to commercialize our drug candidates. In the event of litigation or administrative proceedings, we cannot be certain that the claims in any of our issued patents will be considered valid by courts in the United States or foreign countries.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our drug candidates through acquisitions and in-licenses.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we normally seek to obtain the right to control prosecution, maintenance and enforcement of the patents relating to our drug candidates, there may be times when the filing and prosecution activities for patents and patent applications relating to our drug candidates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license agreements in the future with others to advance our existing or future research or allow commercialization of our existing or future drug candidates. These licenses may not provide exclusive rights to use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and technology in all relevant fields of use and in all territories in which we may wish to develop or commercialize our technology and products in the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future licensors fail to prosecute, maintain, enforce, and defend such patents or patent applications, or lose rights to those patents or patent applications, the rights we have licensed may be reduced or eliminated, and our right to develop and commercialize any of our future drug candidates that are subject of such licensed rights could be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licensors may rely on third-party consultants or collaborators or on funds from third parties such that our future licensors are not the sole and exclusive owners of the patents we in-license. If other third parties have ownership rights to our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third-party patents do not exist which might be enforced against our current technology, manufacturing methods, drug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between us and our future licensors regarding intellectual property subject to a license agreement,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whether and the extent to which our technology and processes infringe on intellectual property of the licensor that is not subject to the licensing agreement;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right to sublicense patents and other rights to third parties;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right to transfer or assign the license;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future licensors and us and our partners;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in the future prevent or impair our ability to maintain our licensing arrangements on commercially acceptable terms, we may be unable to successfully develop and commercialize the affected drug candidates, which could have a material adverse effect on our business, financial conditions, results of operations, and prospects.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spite of our best efforts, our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identical to ours. This could have a material adverse effect on our competitive position, business, financial conditions, results of operations, and prospects.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required to license technologies relating to our therapeutic research programs from additional third parties to further develop or commercialize our drug candidates. Should we be required to obtain licenses to any third-party technology, including any such patents required to manufacture, use or sell our drug candidates, such licenses may not be available to us on commercially reasonable terms, or at all. The inability to obtain any third-party license required to develop or commercialize any of our drug candidates could cause us to abandon any related efforts, which could seriously harm our business and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collaborators have significant discretion in determining the efforts and resources that they will apply to collaborations;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products or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could grant exclusive rights to our collaborators that would prevent us from collaborating with others;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disputes may arise between us and a collaborator that causes the delay or termination of the research, development or commercialization of our future drug candidates or that results in costly litigation or arbitration that diverts management attention and resources;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collaborations may be terminated, and, if terminated, may result in a need for additional capital to pursue further development or commercialization of the applicable current and future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collaborators may own or co-own intellectual property covering our products that results from our collaborating with them, and in such cases, we would not have the exclusive right to develop or commercialize such intellectual property;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collaborator’s sales and marketing activities or other operations may not be in compliance with applicable laws resulting in civil or criminal proceedings.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encounter difficulties in managing our growth and expanding our operations successfully.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seek to advance our product candidates through clinical trials and, if approved, through commercialization, we will need to expand our development, regulatory, quality assurance, manufacturing, commercialization, compliance, and administration capabilities or contract with third parties to provide these capabilities for us. As our operations expand, we expect that we will need to increase the responsibilities on members of management and manage any future growth effectively. Our failure to effectively manage our growth in this regard could prevent us from successfully implementing our strategy and maintaining the confidence of investors in our company.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stockholders may realize little or no value from the divestiture of our legacy assets, and as a result our stock price may decline, we could be subject to litigation, and our business may be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sold our legacy small molecule protease inhibitor portfolio to Lighthouse, which is a newly organized, private development stage company in the start-up phase, and has only recently commenced its operations. There is currently no existing public market for the shares of Lighthouse's common stock, and there can be no assurance that an active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will ever develop. The absence of an active public market for these securities would make it difficult for us to sell the shares of Lighthouse's common stock and realize any value from them. To date, Lighthouse’s operations have been primarily limited to organizing and staffing its company and completing the acquisition of our legacy assets. Accordingly, it is difficult if not impossible to predict Lighthouse’s future performance or to evaluate its business and prospects, or ability to develop our legacy assets. For these and other reasons, our stockholders may realize little or no value from the divestiture of our legacy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divestiture of our legacy assets or previously announced change in our corporate strategy, including the termination of the license for NOV004, could result in litigation against us, including litigation arising from or related to the value, received in the sale of our legacy assets to Lighthouse. For example, some of our investors purchased shares of our common stock because they were interested in the opportunities presented by our small molecule protease inhibitor portfolio, others because they were interested in our bone-targeting drug platform. Thus, certain stockholders may have attributed substantial financial value to our legacy assets or NOV004. If our stockholders believe that the financial value which is or may be received by us or them from the divestiture of our assets is inadequate, our stock price may decline and litigation may occur. As a result of these and other factors, we may be exposed to a number of risks, including declines or fluctuations in our stock price, additional legal fees, and distractions to our management caused by activities undertaken in connection with resolving any disputes related to these transactions. The occurrence of any one or more of the above could have an adverse impact on our business and financial condition.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Relating to Owning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of our common stock is likely to be volatile and could fluctuate or decline, resulting in a substantial loss of your investment.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has been and may continue to be volatile and could be subject to wide fluctuations in response to many risk factors listed in this section, and others beyond our control,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integration efforts related to our acquisition of EryDel;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business strategy;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timing and results of clinical trials;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ability to identify partnership and licensing opportunities to support the future development of EryDex;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market opportunity for A-T and future indications;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delays in manufacturing of drug supplies, results of preclinical studies and clinical trials for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regulatory actions with respect to our drug candidates or our competitors’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actual or anticipated fluctuations in our financial condition and operating results, including fluctuations in our quarterly and annual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announcement of actual or anticipated reduction in force, including our recent reduction in force;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announcements of technological innovations by us or our competitors;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overall conditions in our industry and the markets in which we operate;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addition or loss of significant customers, or other developments with respect to significant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laws or regulations applicable to our drug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actual or anticipated changes in our growth rate relative to our competitors;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announcements by us or our competitors of significant acquisitions, strategic partnerships, joint ventures or capital commitments;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additions or departures of key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competition from existing drug candidates or new drug candidates that may emerge;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issuance of new or updated research or reports by securities analysts;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cash runway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fluctuations in the valuation of companies perceived by investors to be comparable to us;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disputes or other developments related to proprietary rights, including patents, litigation matters, and our ability to obtain intellectual property protection for our technologies;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announcement or expectation of additional financing efforts;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sales of our common stock by us or our stockholders;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share price and volume fluctuations attributable to inconsistent trading volume levels of our shares;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market conditions for pharmaceutical stocks in general;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maintain compliance with Nasdaq minimum listing requirements;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general economic and market conditions;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ineffectiveness of our disclosure controls or internal controls.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stockholders have instituted securities class action litigation following periods of market volatility. If we were to become involved in securities litigation, it could subject us to substantial costs and divert our management’s attention from other business concerns, which could seriously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securities class action and stockholder derivative actions. These, and potential similar or related litigation, could result in substantial damages and may divert management’s time and attention from our business and adversely impact our business,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become the target of securities class actions or stockholder derivative claims. Securities-related class action litigation has often been brought against companies, including many biotechnology companies, which experience volatility in the market price of their securities. This risk is especially relevant for us because biotechnology companies often experience significant stock price volatility in connection with their product development programs. Any preclinical or clinical trial results that the investors may deem as unfavorable, volatility in our stock price and other matters affecting our business and operations may subject us to actual and threatened securities class actions or stockholder derivative claims. In addition, we may be exposed to increased litigation from stockholders, customers, suppliers, consumers and other third parties due to the combination of EryDel's and Novosteo’s business and ours following the EryDel and Novosteo Acquisitions, out-licensing of our legacy assets and NOV004. These types of proceedings may result in substantial costs, divert management’s attention from other business concerns and adversely impact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sales of our common stock in the public market could cause our share price to fall.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Certain holders of our common stock have rights, subject to conditions, to require us to file registration statements covering their shares or to include their shares in Securities Act registration statements that we may file for ourselves or other stockholders. Once we register these shares, they can be freely sold in the public market. Moreover, we have also registered under the Securities Act shares of common stock that we may issue under our equity compensation plans.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issuance of shares under awards granted under existing or future employee equity benefit plans may cause immediate and substantial dilution to our existing stockholders. In the future, we may issue additional shares of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 the past and may in the future fail to meet the requirements for continued listing on Nasdaq. If we fail to maintain compliance with the minimum listing requirements, our common stock may be delisted, which could have a material adverse effect on the liquidity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currently trades on the Nasdaq. The Nasdaq has requirements that a company must meet in order to remain listed on Nasdaq. For example,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trading days.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20, 2024, we received written notice (the “Notice”) from the Listing Qualifications Department of Nasdaq (the “Nasdaq Listing Department”) notifying us that, based on the closing bid price of our common stock for the last 34 consecutive trading days, we no longer comply with the Minimum Bid Price Requirement The 2024 Notice had no immediate effect on the listing of our common stock on The Nasdaq Global Select Market. Pursuant to the Nasdaq Listing Rules, we have been provided an initial compliance period of 180 calendar days from the Notice to regain compliance with the Minimum Bid Price Requirement. To regain compliance, the closing bid price of our common stock must be at least $1.00 per share for a minimum of 10 consecutive trading days prior to December 17, 2024, and we must otherwise satisfy The Nasdaq Global Select Market’s requirements for listing. On November 12, 2024, the Company received written notice from the Listing Qualifications Department of Nasdaq notifying the Company that, for the last 10 consecutive business days, from October 29, 2024, through November 11, 2024, the closing bid price of the Company’s common stock was $1.00 per share or greater. Accordingly, the written notice stated that the Company has regained compliance with the minimum bid price listing requirement set forth under the Rule and that the matter was now closed.</w:t>
      </w:r>
    </w:p>
    <w:p>
      <w:pPr>
        <w:pStyle w:val="TextBody"/>
        <w:bidi w:val="0"/>
        <w:spacing w:lineRule="auto" w:line="288" w:before="240" w:after="283"/>
        <w:jc w:val="left"/>
        <w:rPr/>
      </w:pPr>
      <w:r>
        <w:rPr>
          <w:rFonts w:ascii="Times New Roman;sans-serif" w:hAnsi="Times New Roman;sans-serif"/>
          <w:b w:val="false"/>
          <w:color w:val="000000"/>
          <w:sz w:val="20"/>
        </w:rPr>
        <w:t>Additionally, in December 2022, we received a written notice from the Nasdaq Listing Department notifying us that we were in noncompliance with the Minimum Bid Price Requirement and we regained compliance in April 2023. In December 2023, we again received a written notice from the Nasdaq Listing Department notifying us that we were in noncompliance with the Minimum Bid Price Requirement and regained compliance later in December 2023. T</w:t>
      </w:r>
      <w:r>
        <w:rPr>
          <w:rFonts w:ascii="Times New Roman;sans-serif" w:hAnsi="Times New Roman;sans-serif"/>
          <w:b w:val="false"/>
          <w:color w:val="000000"/>
          <w:sz w:val="20"/>
          <w:shd w:fill="FFFFFF" w:val="clear"/>
        </w:rPr>
        <w:t>here can be no assurance that we will continue to meet the Minimum Bid Price Requirement, or any other Nasdaq requirements, in the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also be unable to meet other applicable Nasdaq listing requirements, including maintaining minimum levels of stockholders’ equity or market values of our common stock, in which case our common stock could be delisted. If our common stock were to be delisted, the liquidity of our common stock would be adversely affected, and the market price of our common stock could decrease.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never paid dividends on our common stock and we do not intend to pay dividends for the foreseeable future. Consequently, any gains from an investment in our common stock will likely depend on whether the price of our common stock increases.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prevent a takeover that stockholders consider favorable and could also reduce the market price of our stock.*</w:t>
      </w:r>
    </w:p>
    <w:p>
      <w:pPr>
        <w:pStyle w:val="TextBody"/>
        <w:bidi w:val="0"/>
        <w:spacing w:lineRule="auto" w:line="288" w:before="240" w:after="283"/>
        <w:jc w:val="left"/>
        <w:rPr/>
      </w:pPr>
      <w:r>
        <w:rPr>
          <w:rFonts w:ascii="Times New Roman;sans-serif" w:hAnsi="Times New Roman;sans-serif"/>
          <w:b w:val="false"/>
          <w:color w:val="000000"/>
          <w:sz w:val="20"/>
        </w:rPr>
        <w:t>Our amended and restated certificate of incorporation and our amended and restated bylaws</w:t>
      </w:r>
      <w:r>
        <w:rPr>
          <w:color w:val="FF0000"/>
        </w:rPr>
        <w:t xml:space="preserve"> </w:t>
      </w:r>
      <w:r>
        <w:rPr>
          <w:rFonts w:ascii="Times New Roman;sans-serif" w:hAnsi="Times New Roman;sans-serif"/>
          <w:b w:val="false"/>
          <w:color w:val="000000"/>
          <w:sz w:val="20"/>
        </w:rPr>
        <w:t>contain provisions that could delay or prevent a change in control of our company. These provisions could also make it more difficult for stockholders to elect directors and take other corporate actions. These provisions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providing for a classified board of directors with staggered, three-year terms;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authorizing our board of directors to issue preferred stock with voting or other rights or preferences that could discourage a takeover attempt or delay changes in control;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prohibiting cumulative voting in the election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providing that vacancies on our board of directors may be filled only by a majority of directors then in office, even though less than a quorum;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prohibiting the adoption, amendment or repeal of our amended and restated bylaws or the repeal of the provisions of our amended and restated certificate of incorporation regarding the election and removal of directors without the required approval of at least 66.67% of the shares entitled to vote at an election of directors;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prohibiting stockholder action by written consent;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limiting the persons who may call special meetings of stockholders;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requiring advance notification of stockholder nominations and proposals.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is the sole and exclusive forum for substantially all disputes between us and our stockholders, which could limit our stockholders’ abilities to obtain a favorable judicial forum for disputes with us or our directors, officers or employees.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unless we consent to the selection of an alternative forum, to the fullest extent permitted by law, the Court of Chancery of the State of Delaware shall be the sole and exclusive forum for: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action asserting a claim of breach of a fiduciary duty owed by, or other wrongdoing by, any of our directors, officers, employees or agents or our stockholders;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action asserting a claim against us arising under the DGCL, our amended and restated certificate of incorporation, or our amended and restated bylaws;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action asserting a claim against us that is governed by the internal-affairs doctrine;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While the Delaware Supreme Court recently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permitted by Section 145 of the DGCL, our amended and restated bylaws and our indemnification agreements that we have entered into with our directors and officers provide that: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in our discretion, indemnify employees and agents in those circumstances where indemnification is permitted by applicable law;</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internal computer systems, or those used by our third-party research institution collaborators, CROs or other contractors or consultants, may fail or suffer security breaches, which could result in adverse consequences including, but not limited to, regulatory investigations or actions, litigation, fines/penalties, disruptions of our business operations, reputational harm, and loss of revenue or profits.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and the third parties upon which we rely process sensitive data, and, as a result, we and the third parties upon which we rely face a variety of evolving threats that could cause security incidents. Such threats are prevalent and continue to rise, are increasingly difficult to detect, and come from a variety of sources, including traditional computer “hackers,” “hacktivists,” individual threat actors, organized criminal threat actors, personnel (such as through theft or misuse), sophisticated nation states, and nation-state-supported actors. </w:t>
      </w:r>
    </w:p>
    <w:p>
      <w:pPr>
        <w:pStyle w:val="TextBody"/>
        <w:bidi w:val="0"/>
        <w:spacing w:lineRule="auto" w:line="288" w:before="240" w:after="283"/>
        <w:jc w:val="left"/>
        <w:rPr/>
      </w:pPr>
      <w:r>
        <w:rPr>
          <w:rFonts w:ascii="Times New Roman;sans-serif" w:hAnsi="Times New Roman;sans-serif"/>
          <w:b w:val="false"/>
          <w:color w:val="000000"/>
          <w:sz w:val="20"/>
        </w:rPr>
        <w:t>Despite the implementation of security measures designed to detect and mitigate vulnerabilities, our internal computer systems and those of our CROs and other contractors and consultants may be vulnerable to damage from sources including, but not limited to, malicious code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computer viruses), malware, ransomware attacks, software or hardware failures, telecommunications failures, and unauthorized access (including as a result of personnel misconduct or error). In particular, severe ransomware attacks are becoming increasingly prevalent and can lead to significant interruptions in our operations, ability to provide our products or services, loss of sensitive data and income, reputational harm, and diversion of funds. Additionally, remote work has become more common and has increased risks to our information technology systems and data, as more of our employees utilize network connections, computers, and devices outside our premises or network.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as well as adverse consequences including, but not limited to, investigations, fines/penalties, litigation, and reputational harm.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drug candidates and other third parties for the manufacture of our drug candidates and to conduct clinical trials, and similar events relating to their computer systems could also have a material adverse effect on our business. Our reliance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service providers could also introduce new cyber security risks and vulnerabilities, such as supply-chain attacks. To the extent that any disruption or security breach were to result in a loss of, or damage to, our data or systems, or inappropriate disclosure of confidential or proprietary information, we could incur liability and the further development and commercialization of our drug candidates could be delayed. We cannot be sure that our insurance coverage will be adequate or sufficient to protect us from or to mitigate liabilities arising out of our privacy and security practices, or that such coverage will continue to be available on commercially reasonable terms or at all, or that such coverage will pay future claims.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utilize our federal net operating loss and tax credit carryforwards may be limited.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Moreover, under the Tax Act as modified by the CARES Act, federal NOLs generated in tax years beginning after December 31, 2017 may be carried forward indefinitely, but the deductibility of such federal NOLs may be limited to 80% of taxable income for tax years beginning January 1, 2018.</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Sections 382 and 383 of the Internal Revenue Code, limitations on a corporation’s ability to use its NOLs and tax credit carryforwards apply if a corporation undergoes an “ownership change,” which is generally defined as a greater than 50 percentage point change (by value) in its equity ownership by certain stockholders over a three-year period. If we have experienced an ownership change at any time since our incorporation, we may already be subject to limitations on our ability to utilize our existing NOL carryforwards and other tax attributes to offset taxable income or tax liability. In addition,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NOL carryforwards and other tax attributes to offset such taxable income or tax liability may be subject to limitations, which could potentially result in increased future income tax liability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 entered into an amendment (the “Amendment”) of the Debt Agreement with EIB which waives the Minimum Cash Covenant from January 1, 2025 and up to the earlier of December 31, 2025, or the date the Minimum Cash Covenant is restored. Under the terms of the Amendment, the Company agreed to amendments requiring monthly reporting of cash balances and additional limitations on certain permitted acquisitions. Additionally, during the waiver period, the Company agreed to convert 2% of the total 9% deferred interest on Tranches A and B to be payable quarterly, with the first payment due on March 31, 2025, and a one-time fee of 20,000 euros in connection with the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filed or furnished as part of this Quarterly Report on Form 10-Q are set forth on the Exhibit Index, timely and successful completion which Exhibit Index is incorporated herein by reference.</w:t>
      </w:r>
    </w:p>
    <w:tbl>
      <w:tblPr>
        <w:tblW w:w="10205" w:type="dxa"/>
        <w:jc w:val="left"/>
        <w:tblInd w:w="0" w:type="dxa"/>
        <w:tblLayout w:type="fixed"/>
        <w:tblCellMar>
          <w:top w:w="28" w:type="dxa"/>
          <w:left w:w="28" w:type="dxa"/>
          <w:bottom w:w="28" w:type="dxa"/>
          <w:right w:w="28" w:type="dxa"/>
        </w:tblCellMar>
      </w:tblPr>
      <w:tblGrid>
        <w:gridCol w:w="298"/>
        <w:gridCol w:w="262"/>
        <w:gridCol w:w="263"/>
        <w:gridCol w:w="109"/>
        <w:gridCol w:w="109"/>
        <w:gridCol w:w="109"/>
        <w:gridCol w:w="1614"/>
        <w:gridCol w:w="1487"/>
        <w:gridCol w:w="1502"/>
        <w:gridCol w:w="109"/>
        <w:gridCol w:w="109"/>
        <w:gridCol w:w="109"/>
        <w:gridCol w:w="195"/>
        <w:gridCol w:w="195"/>
        <w:gridCol w:w="196"/>
        <w:gridCol w:w="120"/>
        <w:gridCol w:w="120"/>
        <w:gridCol w:w="120"/>
        <w:gridCol w:w="237"/>
        <w:gridCol w:w="237"/>
        <w:gridCol w:w="238"/>
        <w:gridCol w:w="120"/>
        <w:gridCol w:w="120"/>
        <w:gridCol w:w="120"/>
        <w:gridCol w:w="280"/>
        <w:gridCol w:w="280"/>
        <w:gridCol w:w="281"/>
        <w:gridCol w:w="109"/>
        <w:gridCol w:w="109"/>
        <w:gridCol w:w="109"/>
        <w:gridCol w:w="272"/>
        <w:gridCol w:w="272"/>
        <w:gridCol w:w="395"/>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6" w:before="14" w:after="283"/>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76" w:before="14"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ans-serif" w:hAnsi="Times New Roman;sans-serif"/>
                <w:b/>
                <w:color w:val="000000"/>
                <w:sz w:val="20"/>
              </w:rPr>
            </w:pPr>
            <w:r>
              <w:rPr>
                <w:rFonts w:ascii="Times New Roman;sans-serif" w:hAnsi="Times New Roman;sans-serif"/>
                <w:b/>
                <w:color w:val="000000"/>
                <w:sz w:val="20"/>
              </w:rPr>
              <w:t>Filed</w:t>
            </w:r>
          </w:p>
          <w:p>
            <w:pPr>
              <w:pStyle w:val="TableContents"/>
              <w:bidi w:val="0"/>
              <w:spacing w:lineRule="auto" w:line="276" w:before="14" w:after="283"/>
              <w:jc w:val="center"/>
              <w:rPr>
                <w:rFonts w:ascii="Times New Roman;sans-serif" w:hAnsi="Times New Roman;sans-serif"/>
                <w:b/>
                <w:color w:val="000000"/>
                <w:sz w:val="20"/>
              </w:rPr>
            </w:pPr>
            <w:r>
              <w:rPr>
                <w:rFonts w:ascii="Times New Roman;sans-serif" w:hAnsi="Times New Roman;sans-serif"/>
                <w:b/>
                <w:color w:val="000000"/>
                <w:sz w:val="20"/>
              </w:rPr>
              <w:t>Herewith</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r:id="rId7">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5/13/2019</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001-38890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r:id="rId8">
              <w:r>
                <w:rPr>
                  <w:rStyle w:val="InternetLink"/>
                  <w:rFonts w:ascii="Times New Roman;sans-serif" w:hAnsi="Times New Roman;sans-serif"/>
                  <w:b w:val="false"/>
                  <w:color w:val="0000FF"/>
                  <w:sz w:val="20"/>
                  <w:u w:val="single"/>
                </w:rPr>
                <w:t>Certificate of Amendment to the registrant’s Certificate of Incorporation, effective August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8/1/2022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001-38890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r:id="rId9">
              <w:r>
                <w:rPr>
                  <w:rStyle w:val="InternetLink"/>
                  <w:rFonts w:ascii="Times New Roman;sans-serif" w:hAnsi="Times New Roman;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8/1/2022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001-38890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qncx-20240930xexx311.htm">
              <w:r>
                <w:rPr>
                  <w:rStyle w:val="InternetLink"/>
                  <w:rFonts w:ascii="Times New Roman;sans-serif" w:hAnsi="Times New Roman;sans-serif"/>
                  <w:b w:val="false"/>
                  <w:color w:val="0000FF"/>
                  <w:sz w:val="20"/>
                  <w:u w:val="single"/>
                </w:rPr>
                <w:t>Certification of Principal Executive Officer pursuant to Rules 13a-14(a) and Rule 15d-14(a)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qncx-20240930xexx312.htm">
              <w:r>
                <w:rPr>
                  <w:rStyle w:val="InternetLink"/>
                  <w:rFonts w:ascii="Times New Roman;sans-serif" w:hAnsi="Times New Roman;sans-serif"/>
                  <w:b w:val="false"/>
                  <w:color w:val="0000FF"/>
                  <w:sz w:val="20"/>
                  <w:u w:val="single"/>
                </w:rPr>
                <w:t>Certification of Principal Financial Officer pursuant to Rules 13a-14(a) and Rule 15d-14(a)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qncx-20240930xexx321.htm">
              <w:r>
                <w:rPr>
                  <w:rStyle w:val="InternetLink"/>
                  <w:rFonts w:ascii="Times New Roman;sans-serif" w:hAnsi="Times New Roman;sans-serif"/>
                  <w:b w:val="false"/>
                  <w:color w:val="0000FF"/>
                  <w:sz w:val="20"/>
                  <w:u w:val="single"/>
                </w:rPr>
                <w:t>Certification of Principal Executive Officer pursuant to Rule 13a-14(b) of the Exchange Act and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qncx-20240930xexx322.htm">
              <w:r>
                <w:rPr>
                  <w:rStyle w:val="InternetLink"/>
                  <w:rFonts w:ascii="Times New Roman;sans-serif" w:hAnsi="Times New Roman;sans-serif"/>
                  <w:b w:val="false"/>
                  <w:color w:val="0000FF"/>
                  <w:sz w:val="20"/>
                  <w:u w:val="single"/>
                </w:rPr>
                <w:t>Certification of Principal Financial Officer pursuant to Rule 13a-14(b) of the Exchange Act and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Quarterly Report on Form 10-Q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524af8b06e6e4d1f8cd6bec84d21e200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719" w:type="dxa"/>
        <w:jc w:val="left"/>
        <w:tblInd w:w="0" w:type="dxa"/>
        <w:tblLayout w:type="fixed"/>
        <w:tblCellMar>
          <w:top w:w="28" w:type="dxa"/>
          <w:left w:w="28" w:type="dxa"/>
          <w:bottom w:w="28" w:type="dxa"/>
          <w:right w:w="28" w:type="dxa"/>
        </w:tblCellMar>
      </w:tblPr>
      <w:tblGrid>
        <w:gridCol w:w="797"/>
        <w:gridCol w:w="702"/>
        <w:gridCol w:w="706"/>
        <w:gridCol w:w="345"/>
        <w:gridCol w:w="345"/>
        <w:gridCol w:w="345"/>
        <w:gridCol w:w="1893"/>
        <w:gridCol w:w="1893"/>
        <w:gridCol w:w="269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14" w:type="dxa"/>
            <w:gridSpan w:val="6"/>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Quince Therapeutics, Inc.</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2024</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Dirk Thye</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Dirk Thye</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Chief Medical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2024</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Brendan Hannah</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Brendan Hannah</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 Chief Operating Officer, and Chief Compliance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Dirk Thye, certify that: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Quince Therapeutics, Inc. for the quarter ended September 30, 2024;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4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435" w:type="dxa"/>
        <w:jc w:val="left"/>
        <w:tblInd w:w="0" w:type="dxa"/>
        <w:tblLayout w:type="fixed"/>
        <w:tblCellMar>
          <w:top w:w="28" w:type="dxa"/>
          <w:left w:w="28" w:type="dxa"/>
          <w:bottom w:w="28" w:type="dxa"/>
          <w:right w:w="28" w:type="dxa"/>
        </w:tblCellMar>
      </w:tblPr>
      <w:tblGrid>
        <w:gridCol w:w="799"/>
        <w:gridCol w:w="703"/>
        <w:gridCol w:w="703"/>
        <w:gridCol w:w="1237"/>
        <w:gridCol w:w="1237"/>
        <w:gridCol w:w="1756"/>
      </w:tblGrid>
      <w:tr>
        <w:trPr/>
        <w:tc>
          <w:tcPr>
            <w:tcW w:w="7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2024</w:t>
            </w:r>
          </w:p>
        </w:tc>
        <w:tc>
          <w:tcPr>
            <w:tcW w:w="4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Dirk Thye</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Dirk Thye</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Chief Medical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Brendan Hannah, certify that: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Quince Therapeutics, Inc. for the quarter ended September 30, 2024;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4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8684" w:type="dxa"/>
        <w:jc w:val="left"/>
        <w:tblInd w:w="0" w:type="dxa"/>
        <w:tblLayout w:type="fixed"/>
        <w:tblCellMar>
          <w:top w:w="28" w:type="dxa"/>
          <w:left w:w="28" w:type="dxa"/>
          <w:bottom w:w="28" w:type="dxa"/>
          <w:right w:w="28" w:type="dxa"/>
        </w:tblCellMar>
      </w:tblPr>
      <w:tblGrid>
        <w:gridCol w:w="799"/>
        <w:gridCol w:w="703"/>
        <w:gridCol w:w="703"/>
        <w:gridCol w:w="1891"/>
        <w:gridCol w:w="1891"/>
        <w:gridCol w:w="2697"/>
      </w:tblGrid>
      <w:tr>
        <w:trPr/>
        <w:tc>
          <w:tcPr>
            <w:tcW w:w="7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2024</w:t>
            </w:r>
          </w:p>
        </w:tc>
        <w:tc>
          <w:tcPr>
            <w:tcW w:w="6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Brendan Hannah</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Brendan Hannah</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Business Officer, Chief Operating Officer, and Chief Compliance Officer</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906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 (18 U.S.C. SECTION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Quince Therapeutics, Inc. (the “Company”) on Form 10-Q for the period ended September 30, 2024 as filed with the Securities and Exchange Commission on the date hereof to which this Certification is attached as Exhibit 32.1 (the “Report”), I certify, pursuant to Rule 13a-149b) of the Securities Exchange Act of 1934, as amended (the “Exchange Act”), and18 U.S.C. § 1350, as adopted pursuant to §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839"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237"/>
        <w:gridCol w:w="1237"/>
        <w:gridCol w:w="175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2024</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Dirk Thye</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Dirk Thye</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Chief Medical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Quince Therapeutics, Inc. under the Securities Act of 1933, as amended, or the Exchange Act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906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 (18 U.S.C. SECTION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Quince Therapeutics, Inc. (the “Company”) on Form 10-Q for the period ended September 30, 2024 as filed with the Securities and Exchange Commission on the date hereof to which this Certification is attached as Exhibit 32.2 (the “Report”), I certify, pursuant to Rule 13a-149b) of the Securities Exchange Act of 1934, as amended (the “Exchange Act”), and18 U.S.C. § 1350, as adopted pursuant to §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9088"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891"/>
        <w:gridCol w:w="1891"/>
        <w:gridCol w:w="2697"/>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2024</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Brendan Hannah</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Brendan Hannah</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Business Officer, Chief Operating Officer, and Chief Compliance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Quince Therapeutics, Inc.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1662774/000119312519145468/d747357dex31.htm" TargetMode="External"/><Relationship Id="rId8" Type="http://schemas.openxmlformats.org/officeDocument/2006/relationships/hyperlink" Target="https://www.sec.gov/Archives/edgar/data/1662774/000119312522207867/d346512dex31.htm" TargetMode="External"/><Relationship Id="rId9" Type="http://schemas.openxmlformats.org/officeDocument/2006/relationships/hyperlink" Target="https://www.sec.gov/Archives/edgar/data/1662774/000119312522207867/d346512dex3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70011</Words>
  <Characters>388615</Characters>
  <CharactersWithSpaces>456420</CharactersWithSpaces>
  <Paragraphs>3589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