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5238d8k.htm"/>
      <w:bookmarkStart w:id="1" w:name="ksd11523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240.13d-4(c))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October 6, 2026, Quince Therapeutics, Inc. (the “</w:t>
      </w:r>
      <w:r>
        <w:rPr>
          <w:rFonts w:ascii="Times New Roman" w:hAnsi="Times New Roman"/>
          <w:b/>
          <w:i/>
          <w:sz w:val="20"/>
        </w:rPr>
        <w:t>Company</w:t>
      </w:r>
      <w:r>
        <w:rPr>
          <w:rFonts w:ascii="Times New Roman" w:hAnsi="Times New Roman"/>
          <w:sz w:val="20"/>
        </w:rPr>
        <w:t>”), held a special meeting of stockholders (the “</w:t>
      </w:r>
      <w:r>
        <w:rPr>
          <w:rFonts w:ascii="Times New Roman" w:hAnsi="Times New Roman"/>
          <w:b/>
          <w:i/>
          <w:sz w:val="20"/>
        </w:rPr>
        <w:t>Special Meeting</w:t>
      </w:r>
      <w:r>
        <w:rPr>
          <w:rFonts w:ascii="Times New Roman" w:hAnsi="Times New Roman"/>
          <w:sz w:val="20"/>
        </w:rPr>
        <w:t>”). At the Special Meeting, the Company’s stockholder approved (i) the Company’s 2026 Equity Incentive Plan (the “</w:t>
      </w:r>
      <w:r>
        <w:rPr>
          <w:rFonts w:ascii="Times New Roman" w:hAnsi="Times New Roman"/>
          <w:b/>
          <w:i/>
          <w:sz w:val="20"/>
        </w:rPr>
        <w:t>2026 Plan</w:t>
      </w:r>
      <w:r>
        <w:rPr>
          <w:rFonts w:ascii="Times New Roman" w:hAnsi="Times New Roman"/>
          <w:sz w:val="20"/>
        </w:rPr>
        <w:t>”) and (ii) the Company’s 2026 Employee Stock Purchase Plan (the “</w:t>
      </w:r>
      <w:r>
        <w:rPr>
          <w:rFonts w:ascii="Times New Roman" w:hAnsi="Times New Roman"/>
          <w:b/>
          <w:i/>
          <w:sz w:val="20"/>
        </w:rPr>
        <w:t>2026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2026 Plan has an initial share reserve equal to (i) 821,872 shares of the Company’s common stock, par value $0.001 per share (“</w:t>
      </w:r>
      <w:r>
        <w:rPr>
          <w:rFonts w:ascii="Times New Roman" w:hAnsi="Times New Roman"/>
          <w:b/>
          <w:i/>
          <w:sz w:val="20"/>
        </w:rPr>
        <w:t>common stock</w:t>
      </w:r>
      <w:r>
        <w:rPr>
          <w:rFonts w:ascii="Times New Roman" w:hAnsi="Times New Roman"/>
          <w:sz w:val="20"/>
        </w:rPr>
        <w:t>”) plus up to (ii) 1,377,845 shares of common stock subject to outstanding stock awards granted under the Company’s 2019 Equity Incentive Plan, the Novesto Inc. 2019 Equity Incentive Plan, the Company’s 2022 Inducement Plan, the Orphai Therapeutics Inc. 2026 Stock Incentive Plan and the Orphai Therapeutics Inc. 2013 Employee, Director and Consultant Equity Incentive Plan (collectively, the “</w:t>
      </w:r>
      <w:r>
        <w:rPr>
          <w:rFonts w:ascii="Times New Roman" w:hAnsi="Times New Roman"/>
          <w:b/>
          <w:i/>
          <w:sz w:val="20"/>
        </w:rPr>
        <w:t>Prior Plans</w:t>
      </w:r>
      <w:r>
        <w:rPr>
          <w:rFonts w:ascii="Times New Roman" w:hAnsi="Times New Roman"/>
          <w:sz w:val="20"/>
        </w:rPr>
        <w:t>”) that, after the date that the 2026 Plan becomes effective, are not issued because a stock award expires or otherwise terminates without all of the shares covered by the award having been issued; are not issued because the stock award is settled in cash; are forfeited or repurchased because of the failure to vest; or are reacquired or withheld to satisfy a tax withholding obligation or the purchase or exercise price. In addition, the number of shares of common stock reserved for issuance under the 2026 Plan will automatically increase on January 1 of each year, from January 1, 2027 through January 1, 2036, in an amount equity to 5% of the total number of shares of all classes of common stock outstanding plus all shares of common stock issuable upon the exercise of any pre-funded warrants (without regard to any beneficial ownership limitations) on December 31 of the preceding year, or a lesser number of shares determined by the Company’s Board of Directors (the “</w:t>
      </w:r>
      <w:r>
        <w:rPr>
          <w:rFonts w:ascii="Times New Roman" w:hAnsi="Times New Roman"/>
          <w:b/>
          <w:i/>
          <w:sz w:val="20"/>
        </w:rPr>
        <w:t>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2026 ESPP has an initial share reserve equal to 142,045 shares of common stock. In addition, the number of shares of common stock served for issuance under the 2026 ESPP will automatically increase on January 1 of each calendar year, beginning on January 1, 2027 through January 1, 2036, by the lesser of (i) 1% of the total number of shares of all classes of common stock outstanding plus all shares of common stock issuable upon the exercise of any pre-funded warrants (without regard to any beneficial ownership limitations), on December 31 of the preceding calendar year, and (ii) a number of shares equal to two times the initial shares reserve; provided that before the date of any such increase, the Board may determine that such increase will be less than the amount set forth in clauses (i) and (ii). </w:t>
      </w:r>
    </w:p>
    <w:p>
      <w:pPr>
        <w:pStyle w:val="TextBody"/>
        <w:bidi w:val="0"/>
        <w:spacing w:before="240" w:after="0"/>
        <w:jc w:val="left"/>
        <w:rPr>
          <w:rFonts w:ascii="Times New Roman" w:hAnsi="Times New Roman"/>
          <w:sz w:val="20"/>
        </w:rPr>
      </w:pPr>
      <w:r>
        <w:rPr>
          <w:rFonts w:ascii="Times New Roman" w:hAnsi="Times New Roman"/>
          <w:sz w:val="20"/>
        </w:rPr>
        <w:t xml:space="preserve">The Board previously approved the 2026 Plan and 2026 ESPP on July 29, 2026 and July 30, 2026, respectively, subject to stockholder approval. </w:t>
      </w:r>
    </w:p>
    <w:p>
      <w:pPr>
        <w:pStyle w:val="TextBody"/>
        <w:bidi w:val="0"/>
        <w:spacing w:before="240" w:after="0"/>
        <w:jc w:val="left"/>
        <w:rPr>
          <w:rFonts w:ascii="Times New Roman" w:hAnsi="Times New Roman"/>
          <w:sz w:val="20"/>
        </w:rPr>
      </w:pPr>
      <w:r>
        <w:rPr>
          <w:rFonts w:ascii="Times New Roman" w:hAnsi="Times New Roman"/>
          <w:sz w:val="20"/>
        </w:rPr>
        <w:t>A summary of the principal features of the 2026 Plan and 2026 ESPP are set forth under the headings “Proposal No. 4—Approval of the 2026 Equity Incentive Plan” and “Proposal No. 5—Approval of the 2026 ESPP” contained in the Company’s definitive proxy statement on Schedule 14A, filed with the Securities and Exchange Commission on August 25, 2026 (the “</w:t>
      </w:r>
      <w:r>
        <w:rPr>
          <w:rFonts w:ascii="Times New Roman" w:hAnsi="Times New Roman"/>
          <w:b/>
          <w:i/>
          <w:sz w:val="20"/>
        </w:rPr>
        <w:t>Proxy Statement</w:t>
      </w:r>
      <w:r>
        <w:rPr>
          <w:rFonts w:ascii="Times New Roman" w:hAnsi="Times New Roman"/>
          <w:sz w:val="20"/>
        </w:rPr>
        <w:t xml:space="preserve">”). The summaries are qualified in their entirety by reference to the 2026 Plan, forms of option grant notices and option agreements and forms of restricted stock unit grant notice and unit award agreement thereunder, and the 2026 ESPP, which are attached as Exhibits 10.1 and 10.2, respectively, to this Current Report on Form 8-K and incorporated herein by reference.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025"/>
        <w:gridCol w:w="6470"/>
      </w:tblGrid>
      <w:tr>
        <w:trPr/>
        <w:tc>
          <w:tcPr>
            <w:tcW w:w="102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At the Special Meeting, the Company’s stockholders approved an amendment to the Company’s Certificate of Incorporation (the “</w:t>
      </w:r>
      <w:r>
        <w:rPr>
          <w:rFonts w:ascii="Times New Roman" w:hAnsi="Times New Roman"/>
          <w:b/>
          <w:i/>
          <w:sz w:val="20"/>
        </w:rPr>
        <w:t>Amendment</w:t>
      </w:r>
      <w:r>
        <w:rPr>
          <w:rFonts w:ascii="Times New Roman" w:hAnsi="Times New Roman"/>
          <w:sz w:val="20"/>
        </w:rPr>
        <w:t xml:space="preserve">”) to increase the number of authorized shares of common stock from 250,000,000 to 275,000,000. The Amendment was filed with the Secretary of State of the State of Delaware on October 6, 2026, and effective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the Amendment, which is attached as Exhibit 3.1 to this Current Report on Form 8-K and incorporated herein by reference. </w:t>
      </w:r>
    </w:p>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Special meeting, the stockholder voted on six proposals, each of which is described in more detail in the Proxy Statement. Of the 1,017,063 shares of common stock outstanding as of the record date, 611,465 shares, or 60%, were present or represented by proxy at the Special Meeting. Set forth below are the results of the matters submitted for a vote of stockholders at the Special Meeting.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listing rules of the Nasdaq Stock Market, holders of an aggregate of 162,971 shares of common stock were not entitled to vote on Proposal No. 1. The voting results set forth below for Proposal No. 1 reflect the subtraction of 162,971 shares of common stock from the votes cast in favor of Proposal No. 1 in accordance with Nasdaq rules.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w:t>
      </w:r>
      <w:r>
        <w:rPr>
          <w:rFonts w:ascii="Times New Roman" w:hAnsi="Times New Roman"/>
          <w:sz w:val="20"/>
        </w:rPr>
        <w:t>: Approval of the issuance of shares of common stock upon conversion of the Company’s Series C Non-Voting Convertible Preferred Stock, par value $0.001 per share (the “</w:t>
      </w:r>
      <w:r>
        <w:rPr>
          <w:rFonts w:ascii="Times New Roman" w:hAnsi="Times New Roman"/>
          <w:b/>
          <w:i/>
          <w:sz w:val="20"/>
        </w:rPr>
        <w:t>Series C Preferred Stock</w:t>
      </w:r>
      <w:r>
        <w:rPr>
          <w:rFonts w:ascii="Times New Roman" w:hAnsi="Times New Roman"/>
          <w:sz w:val="20"/>
        </w:rPr>
        <w:t xml:space="preserve">”) and exercise of warrants to purchase shares of Series C Preferred Stock and options to purchase shares of common stock of Orphai Therapeutics, LLC, which (a) will represent more than 20% of the shares of common stock outstanding pursuant to Nasdaq Listing Rule 5635(a) and (b) may, together with certain changes to management and the Board, result in the change of control of the Company pursuant to Nasdaq Listing Rule 5635(b). The votes were cast as follows: </w:t>
      </w:r>
    </w:p>
    <w:p>
      <w:pPr>
        <w:pStyle w:val="TextBody"/>
        <w:bidi w:val="0"/>
        <w:spacing w:before="0" w:after="0"/>
        <w:jc w:val="left"/>
        <w:rPr/>
      </w:pPr>
      <w:r>
        <w:rPr/>
        <w:t> </w:t>
      </w:r>
    </w:p>
    <w:tbl>
      <w:tblPr>
        <w:tblW w:w="4055" w:type="dxa"/>
        <w:jc w:val="left"/>
        <w:tblInd w:w="0" w:type="dxa"/>
        <w:tblLayout w:type="fixed"/>
        <w:tblCellMar>
          <w:top w:w="0" w:type="dxa"/>
          <w:left w:w="0" w:type="dxa"/>
          <w:bottom w:w="0" w:type="dxa"/>
          <w:right w:w="0" w:type="dxa"/>
        </w:tblCellMar>
      </w:tblPr>
      <w:tblGrid>
        <w:gridCol w:w="755"/>
        <w:gridCol w:w="60"/>
        <w:gridCol w:w="1025"/>
        <w:gridCol w:w="60"/>
        <w:gridCol w:w="740"/>
        <w:gridCol w:w="60"/>
        <w:gridCol w:w="13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7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180,550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5,742</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671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261,531</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1 was approved.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w:t>
      </w:r>
      <w:r>
        <w:rPr>
          <w:rFonts w:ascii="Times New Roman" w:hAnsi="Times New Roman"/>
          <w:sz w:val="20"/>
        </w:rPr>
        <w:t xml:space="preserve">: Approval of the issuance of shares of common stock, upon conversion of Series C Preferred Stock and upon exercise of warrants to purchase shares of Series C Preferred Stock, each issued in a private placement, pursuant to Nasdaq Listing Rule 5635(d). The votes cast were as follows: </w:t>
      </w:r>
    </w:p>
    <w:p>
      <w:pPr>
        <w:pStyle w:val="TextBody"/>
        <w:bidi w:val="0"/>
        <w:spacing w:before="0" w:after="0"/>
        <w:jc w:val="left"/>
        <w:rPr/>
      </w:pPr>
      <w:r>
        <w:rPr/>
        <w:t> </w:t>
      </w:r>
    </w:p>
    <w:tbl>
      <w:tblPr>
        <w:tblW w:w="4115" w:type="dxa"/>
        <w:jc w:val="left"/>
        <w:tblInd w:w="0" w:type="dxa"/>
        <w:tblLayout w:type="fixed"/>
        <w:tblCellMar>
          <w:top w:w="0" w:type="dxa"/>
          <w:left w:w="0" w:type="dxa"/>
          <w:bottom w:w="0" w:type="dxa"/>
          <w:right w:w="0" w:type="dxa"/>
        </w:tblCellMar>
      </w:tblPr>
      <w:tblGrid>
        <w:gridCol w:w="815"/>
        <w:gridCol w:w="60"/>
        <w:gridCol w:w="1025"/>
        <w:gridCol w:w="60"/>
        <w:gridCol w:w="740"/>
        <w:gridCol w:w="60"/>
        <w:gridCol w:w="135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815" w:type="dxa"/>
            <w:tcBorders/>
            <w:shd w:fill="CCEEFF" w:val="clear"/>
            <w:vAlign w:val="center"/>
          </w:tcPr>
          <w:p>
            <w:pPr>
              <w:pStyle w:val="TableContents"/>
              <w:bidi w:val="0"/>
              <w:spacing w:before="0" w:after="283"/>
              <w:jc w:val="center"/>
              <w:rPr/>
            </w:pPr>
            <w:r>
              <w:rPr/>
              <w:t>343,517</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5,759</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658</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261,531</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2 was approved.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w:t>
      </w:r>
      <w:r>
        <w:rPr>
          <w:rFonts w:ascii="Times New Roman" w:hAnsi="Times New Roman"/>
          <w:sz w:val="20"/>
        </w:rPr>
        <w:t xml:space="preserve">: Approval of an amendment to the Company’s certificate of incorporation to increase the number of authorized shares of Common Stock from 250,000,000 to 275,000,000. The votes cast were as follows: </w:t>
      </w:r>
    </w:p>
    <w:p>
      <w:pPr>
        <w:pStyle w:val="TextBody"/>
        <w:bidi w:val="0"/>
        <w:spacing w:before="0" w:after="0"/>
        <w:jc w:val="left"/>
        <w:rPr/>
      </w:pPr>
      <w:r>
        <w:rPr/>
        <w:t> </w:t>
      </w:r>
    </w:p>
    <w:tbl>
      <w:tblPr>
        <w:tblW w:w="4115" w:type="dxa"/>
        <w:jc w:val="left"/>
        <w:tblInd w:w="0" w:type="dxa"/>
        <w:tblLayout w:type="fixed"/>
        <w:tblCellMar>
          <w:top w:w="0" w:type="dxa"/>
          <w:left w:w="0" w:type="dxa"/>
          <w:bottom w:w="0" w:type="dxa"/>
          <w:right w:w="0" w:type="dxa"/>
        </w:tblCellMar>
      </w:tblPr>
      <w:tblGrid>
        <w:gridCol w:w="815"/>
        <w:gridCol w:w="60"/>
        <w:gridCol w:w="1025"/>
        <w:gridCol w:w="60"/>
        <w:gridCol w:w="740"/>
        <w:gridCol w:w="60"/>
        <w:gridCol w:w="135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815" w:type="dxa"/>
            <w:tcBorders/>
            <w:shd w:fill="CCEEFF" w:val="clear"/>
            <w:vAlign w:val="center"/>
          </w:tcPr>
          <w:p>
            <w:pPr>
              <w:pStyle w:val="TableContents"/>
              <w:bidi w:val="0"/>
              <w:spacing w:before="0" w:after="283"/>
              <w:jc w:val="center"/>
              <w:rPr/>
            </w:pPr>
            <w:r>
              <w:rPr/>
              <w:t>599,460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11,184</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821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3 was approved.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w:t>
      </w:r>
      <w:r>
        <w:rPr>
          <w:rFonts w:ascii="Times New Roman" w:hAnsi="Times New Roman"/>
          <w:sz w:val="20"/>
        </w:rPr>
        <w:t xml:space="preserve">: Approval of the 2026 Plan. The votes cast were as follows: </w:t>
      </w:r>
    </w:p>
    <w:p>
      <w:pPr>
        <w:pStyle w:val="TextBody"/>
        <w:bidi w:val="0"/>
        <w:spacing w:before="0" w:after="0"/>
        <w:jc w:val="left"/>
        <w:rPr/>
      </w:pPr>
      <w:r>
        <w:rPr/>
        <w:t> </w:t>
      </w:r>
    </w:p>
    <w:tbl>
      <w:tblPr>
        <w:tblW w:w="4115" w:type="dxa"/>
        <w:jc w:val="left"/>
        <w:tblInd w:w="0" w:type="dxa"/>
        <w:tblLayout w:type="fixed"/>
        <w:tblCellMar>
          <w:top w:w="0" w:type="dxa"/>
          <w:left w:w="0" w:type="dxa"/>
          <w:bottom w:w="0" w:type="dxa"/>
          <w:right w:w="0" w:type="dxa"/>
        </w:tblCellMar>
      </w:tblPr>
      <w:tblGrid>
        <w:gridCol w:w="815"/>
        <w:gridCol w:w="60"/>
        <w:gridCol w:w="1025"/>
        <w:gridCol w:w="60"/>
        <w:gridCol w:w="740"/>
        <w:gridCol w:w="60"/>
        <w:gridCol w:w="135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815" w:type="dxa"/>
            <w:tcBorders/>
            <w:shd w:fill="CCEEFF" w:val="clear"/>
            <w:vAlign w:val="center"/>
          </w:tcPr>
          <w:p>
            <w:pPr>
              <w:pStyle w:val="TableContents"/>
              <w:bidi w:val="0"/>
              <w:spacing w:before="0" w:after="283"/>
              <w:jc w:val="center"/>
              <w:rPr/>
            </w:pPr>
            <w:r>
              <w:rPr/>
              <w:t>298,960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50,399</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575</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261,531</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4 was approved.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w:t>
      </w:r>
      <w:r>
        <w:rPr>
          <w:rFonts w:ascii="Times New Roman" w:hAnsi="Times New Roman"/>
          <w:sz w:val="20"/>
        </w:rPr>
        <w:t xml:space="preserve">: Approval of the 2026 ESPP. The votes cast were as follows: </w:t>
      </w:r>
    </w:p>
    <w:p>
      <w:pPr>
        <w:pStyle w:val="TextBody"/>
        <w:bidi w:val="0"/>
        <w:spacing w:before="0" w:after="0"/>
        <w:jc w:val="left"/>
        <w:rPr/>
      </w:pPr>
      <w:r>
        <w:rPr/>
        <w:t> </w:t>
      </w:r>
    </w:p>
    <w:tbl>
      <w:tblPr>
        <w:tblW w:w="4115" w:type="dxa"/>
        <w:jc w:val="left"/>
        <w:tblInd w:w="0" w:type="dxa"/>
        <w:tblLayout w:type="fixed"/>
        <w:tblCellMar>
          <w:top w:w="0" w:type="dxa"/>
          <w:left w:w="0" w:type="dxa"/>
          <w:bottom w:w="0" w:type="dxa"/>
          <w:right w:w="0" w:type="dxa"/>
        </w:tblCellMar>
      </w:tblPr>
      <w:tblGrid>
        <w:gridCol w:w="815"/>
        <w:gridCol w:w="60"/>
        <w:gridCol w:w="1025"/>
        <w:gridCol w:w="60"/>
        <w:gridCol w:w="740"/>
        <w:gridCol w:w="60"/>
        <w:gridCol w:w="135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815" w:type="dxa"/>
            <w:tcBorders/>
            <w:shd w:fill="CCEEFF" w:val="clear"/>
            <w:vAlign w:val="center"/>
          </w:tcPr>
          <w:p>
            <w:pPr>
              <w:pStyle w:val="TableContents"/>
              <w:bidi w:val="0"/>
              <w:spacing w:before="0" w:after="283"/>
              <w:jc w:val="center"/>
              <w:rPr/>
            </w:pPr>
            <w:r>
              <w:rPr/>
              <w:t>303,437</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45,864</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633</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261,531</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5 was approved.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6</w:t>
      </w:r>
      <w:r>
        <w:rPr>
          <w:rFonts w:ascii="Times New Roman" w:hAnsi="Times New Roman"/>
          <w:sz w:val="20"/>
        </w:rPr>
        <w:t xml:space="preserve">: Approval of the adjournment or postponement of the Special Meeting, if necessary, to continue to solicit votes for Proposals Nos. 1, 2 and/or 3.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there were sufficient votes to approve Proposals Nos. 1, 2 and 3 at the time of the Special Meeting, Proposal 6 was not presented to stockholders.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20"/>
        <w:gridCol w:w="785"/>
      </w:tblGrid>
      <w:tr>
        <w:trPr/>
        <w:tc>
          <w:tcPr>
            <w:tcW w:w="320" w:type="dxa"/>
            <w:tcBorders/>
            <w:vAlign w:val="center"/>
          </w:tcPr>
          <w:p>
            <w:pPr>
              <w:pStyle w:val="TableContents"/>
              <w:bidi w:val="0"/>
              <w:spacing w:before="0" w:after="283"/>
              <w:jc w:val="left"/>
              <w:rPr>
                <w:b/>
              </w:rPr>
            </w:pPr>
            <w:r>
              <w:rPr>
                <w:b/>
              </w:rPr>
              <w:t>(d)</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5238dex31.htm">
              <w:r>
                <w:rPr>
                  <w:rStyle w:val="InternetLink"/>
                </w:rPr>
                <w:t xml:space="preserve">Certificate of Amendment to Amended and Restated Certificate of Incorporation, effective October 6,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5238dex101.htm">
              <w:r>
                <w:rPr>
                  <w:rStyle w:val="InternetLink"/>
                </w:rPr>
                <w:t xml:space="preserve">2026 Equity Incentive Plan and Forms of Stock Option Grant Notice, Stock Option Agreement, Restricted Stock Unit Grant Notice and Restricted Stock Unit Grant Agreement thereunder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5238dex102.htm">
              <w:r>
                <w:rPr>
                  <w:rStyle w:val="InternetLink"/>
                </w:rPr>
                <w:t xml:space="preserve">2026 Employee Stock Purchase Plan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03" w:type="dxa"/>
        <w:jc w:val="left"/>
        <w:tblInd w:w="0" w:type="dxa"/>
        <w:tblLayout w:type="fixed"/>
        <w:tblCellMar>
          <w:top w:w="0" w:type="dxa"/>
          <w:left w:w="0" w:type="dxa"/>
          <w:bottom w:w="0" w:type="dxa"/>
          <w:right w:w="0" w:type="dxa"/>
        </w:tblCellMar>
      </w:tblPr>
      <w:tblGrid>
        <w:gridCol w:w="2150"/>
        <w:gridCol w:w="60"/>
        <w:gridCol w:w="23"/>
        <w:gridCol w:w="60"/>
        <w:gridCol w:w="650"/>
        <w:gridCol w:w="60"/>
        <w:gridCol w:w="2300"/>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Quince Therapeutics,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2150" w:type="dxa"/>
            <w:tcBorders/>
            <w:vAlign w:val="center"/>
          </w:tcPr>
          <w:p>
            <w:pPr>
              <w:pStyle w:val="TableContents"/>
              <w:bidi w:val="0"/>
              <w:spacing w:before="0" w:after="283"/>
              <w:jc w:val="left"/>
              <w:rPr/>
            </w:pPr>
            <w:r>
              <w:rPr/>
              <w:t>Date: October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15238dex31.htm"/>
      <w:bookmarkStart w:id="3" w:name="ksd115238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240" w:after="0"/>
        <w:jc w:val="left"/>
        <w:rPr>
          <w:rFonts w:ascii="Times New Roman" w:hAnsi="Times New Roman"/>
          <w:sz w:val="20"/>
        </w:rPr>
      </w:pPr>
      <w:r>
        <w:rPr>
          <w:rFonts w:ascii="Times New Roman" w:hAnsi="Times New Roman"/>
          <w:sz w:val="20"/>
        </w:rPr>
        <w:t>Quince Therapeutics, Inc. (the “</w:t>
      </w:r>
      <w:r>
        <w:rPr>
          <w:rFonts w:ascii="Times New Roman" w:hAnsi="Times New Roman"/>
          <w:b/>
          <w:i/>
          <w:sz w:val="20"/>
        </w:rPr>
        <w:t>Company</w:t>
      </w:r>
      <w:r>
        <w:rPr>
          <w:rFonts w:ascii="Times New Roman" w:hAnsi="Times New Roman"/>
          <w:sz w:val="20"/>
        </w:rPr>
        <w:t>”), a corporation organized and existing under and by virtue of the General Corporation Law of the State of Delaware (the “</w:t>
      </w:r>
      <w:r>
        <w:rPr>
          <w:rFonts w:ascii="Times New Roman" w:hAnsi="Times New Roman"/>
          <w:b/>
          <w:i/>
          <w:sz w:val="20"/>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Quince Therapeutics, Inc., and the date on which the Certificate of Incorporation of this corporation was originally filed with the Secretary of State of the State of Delaware on June 20, 2012, under the name “Cortexyme, Inc.” The Certificate of Incorporation was amended and restated by an Amended and Restated Certificate of Incorporation on May 13, 2019, and further amended by Certificate of Amendments to the Amended and Restated Certificate of Incorporation on July 29, 2022, April 9, 2026 and June 26, 2026 (together, the “</w:t>
      </w:r>
      <w:r>
        <w:rPr>
          <w:rFonts w:ascii="Times New Roman" w:hAnsi="Times New Roman"/>
          <w:b/>
          <w:i/>
          <w:sz w:val="20"/>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Board of Directors of the Company (the “</w:t>
      </w:r>
      <w:r>
        <w:rPr>
          <w:rFonts w:ascii="Times New Roman" w:hAnsi="Times New Roman"/>
          <w:b/>
          <w:i/>
          <w:sz w:val="20"/>
        </w:rPr>
        <w:t>Board</w:t>
      </w:r>
      <w:r>
        <w:rPr>
          <w:rFonts w:ascii="Times New Roman" w:hAnsi="Times New Roman"/>
          <w:sz w:val="20"/>
        </w:rPr>
        <w:t xml:space="preserve">”), acting in accordance with the provisions of Sections 141 and 242 of the DGCL, adopted resolutions amending its Certificate of Incorporation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Article IV, Section 1 shall be amended and restated to read in its entirety as follows: </w:t>
      </w:r>
    </w:p>
    <w:p>
      <w:pPr>
        <w:pStyle w:val="TextBody"/>
        <w:bidi w:val="0"/>
        <w:spacing w:before="240" w:after="0"/>
        <w:jc w:val="center"/>
        <w:rPr/>
      </w:pPr>
      <w:r>
        <w:rPr/>
        <w:t>“</w:t>
      </w:r>
      <w:r>
        <w:rPr>
          <w:rFonts w:ascii="Times New Roman" w:hAnsi="Times New Roman"/>
          <w:b/>
          <w:sz w:val="20"/>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1. The total number of shares of all classes of stock that the Corporation has authority to issue is 285,000,000 shares, consisting of two classes: 275,000,000 shares of Common Stock, $0.001 par value per share (“</w:t>
      </w:r>
      <w:r>
        <w:rPr>
          <w:rFonts w:ascii="Times New Roman" w:hAnsi="Times New Roman"/>
          <w:b/>
          <w:i/>
          <w:sz w:val="20"/>
        </w:rPr>
        <w:t>Common Stock</w:t>
      </w:r>
      <w:r>
        <w:rPr>
          <w:rFonts w:ascii="Times New Roman" w:hAnsi="Times New Roman"/>
          <w:sz w:val="20"/>
        </w:rPr>
        <w:t>”), and 10,000,000 shares of Preferred Stock, $0.001 par value per share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as of 11:59 p.m. Eastern time on June 29, 2026 (the “</w:t>
      </w:r>
      <w:r>
        <w:rPr>
          <w:rFonts w:ascii="Times New Roman" w:hAnsi="Times New Roman"/>
          <w:b/>
          <w:i/>
          <w:sz w:val="20"/>
        </w:rPr>
        <w:t>Effective Time</w:t>
      </w:r>
      <w:r>
        <w:rPr>
          <w:rFonts w:ascii="Times New Roman" w:hAnsi="Times New Roman"/>
          <w:sz w:val="20"/>
        </w:rPr>
        <w:t>”), each twenty (20) shares of the Corporation’s Common Stock, par value $0.001 per share, issued and outstanding shall be combined into one share of Common Stock, par value $0.001 per share (the “</w:t>
      </w:r>
      <w:r>
        <w:rPr>
          <w:rFonts w:ascii="Times New Roman" w:hAnsi="Times New Roman"/>
          <w:b/>
          <w:i/>
          <w:sz w:val="20"/>
        </w:rPr>
        <w:t>Old Common Stock</w:t>
      </w:r>
      <w:r>
        <w:rPr>
          <w:rFonts w:ascii="Times New Roman" w:hAnsi="Times New Roman"/>
          <w:sz w:val="20"/>
        </w:rPr>
        <w:t>”), either issued or outstanding, immediately prior to the Effective Time, will be automatically reclassified and combined (without any further act) into a smaller number of shares such that each twenty shares of Old Common Stock issued and outstanding immediately prior to the Effective Time is reclassified into one share of Common Stock, $0.001 par value per share, of the Corporation (the “</w:t>
      </w:r>
      <w:r>
        <w:rPr>
          <w:rFonts w:ascii="Times New Roman" w:hAnsi="Times New Roman"/>
          <w:b/>
          <w:i/>
          <w:sz w:val="20"/>
        </w:rPr>
        <w:t>New Common Stock</w:t>
      </w:r>
      <w:r>
        <w:rPr>
          <w:rFonts w:ascii="Times New Roman" w:hAnsi="Times New Roman"/>
          <w:sz w:val="20"/>
        </w:rPr>
        <w:t>”), without increasing or decreasing the amount of stated capital or paid-in surplus of the Corporation (the “</w:t>
      </w:r>
      <w:r>
        <w:rPr>
          <w:rFonts w:ascii="Times New Roman" w:hAnsi="Times New Roman"/>
          <w:b/>
          <w:i/>
          <w:sz w:val="20"/>
        </w:rPr>
        <w:t>Reverse Stock Split</w:t>
      </w:r>
      <w:r>
        <w:rPr>
          <w:rFonts w:ascii="Times New Roman" w:hAnsi="Times New Roman"/>
          <w:sz w:val="20"/>
        </w:rPr>
        <w:t xml:space="preserve">”).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to the Certificate of Incorporation was duly approved by the Board.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Thereafter, pursuant to a resolution of the Board, this Certificate of Amendment was submitted to the stockholders of the Company for their approval, and was duly adopted in accordance with the provisions of Section 242 of the DGCL</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This amendment to the Certificate of Incorporation shall be effective on and as of the effective time of 5:00 p.m., Eastern Time, on October 6, 2026.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Quince Therapeutics, Inc.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0"/>
              <w:jc w:val="left"/>
              <w:rPr>
                <w:rFonts w:ascii="Times New Roman" w:hAnsi="Times New Roman"/>
                <w:i/>
                <w:sz w:val="20"/>
              </w:rPr>
            </w:pPr>
            <w:r>
              <w:rPr>
                <w:rFonts w:ascii="Times New Roman" w:hAnsi="Times New Roman"/>
                <w:i/>
                <w:sz w:val="20"/>
              </w:rPr>
              <w:t>/s/ Dirk Thye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Dirk Thye</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right"/>
        <w:rPr>
          <w:rFonts w:ascii="Times New Roman" w:hAnsi="Times New Roman"/>
          <w:b/>
          <w:sz w:val="20"/>
        </w:rPr>
      </w:pPr>
      <w:bookmarkStart w:id="4" w:name="d115238dex101.htm"/>
      <w:bookmarkStart w:id="5" w:name="ksd115238dex101"/>
      <w:bookmarkEnd w:id="4"/>
      <w:bookmarkEnd w:id="5"/>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July 29,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October 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Successor to Prior Plans.</w:t>
      </w:r>
      <w:r>
        <w:rPr>
          <w:rFonts w:ascii="Times New Roman" w:hAnsi="Times New Roman"/>
          <w:sz w:val="20"/>
        </w:rPr>
        <w:t xml:space="preserve"> The Plan is the successor to the Prior Plans. As of the Effective Date, (i) no additional awards may be granted under the Prior Plans; and (ii) all outstanding awards granted under a Prior Plan will remain subject to the terms of such Prior Plan. All Awards granted under this Plan will be subject to the terms of this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any Award granted prior to the Effective Date will be conditioned on stockholder approval of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(i) 821,872 shares, plus (ii) up to 1,377,845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5% of the Share Reserve Increase Stock outstanding as of December 31 of the preceding year; provided, however, that the Board may act prior to January 1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7,000,000 shares. </w:t>
      </w:r>
    </w:p>
    <w:p>
      <w:pPr>
        <w:pStyle w:val="TextBody"/>
        <w:bidi w:val="0"/>
        <w:spacing w:before="24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5635(c)(3), NYSE Listed Company Manual Section 303A.08, NYSE American Company Guide Section 711 or other applicable rule, and such issuance will not reduce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the shares of Common Stock with respect to which Incentive Stock Options are exercisable for the first time by any Optionholder during any calendar year (under all plans of the Company and any Affiliates)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(d) 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fiscal year, including Awards granted and cash fees paid by the Company to such Non-Employee Director, will not exceed (1) $750,000 in total value or (2) in the event such Non-Employee Director is first appointed or elected to the Board during such fiscal year, $1,000,000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applicable Award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applicable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applicable Award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applicable Award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applicable Award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applicable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applicable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b/>
          <w:sz w:val="20"/>
        </w:rPr>
      </w:pPr>
      <w:r>
        <w:rPr>
          <w:rFonts w:ascii="Times New Roman" w:hAnsi="Times New Roman"/>
          <w:b/>
          <w:sz w:val="20"/>
        </w:rPr>
        <w:t xml:space="preserve">(ii) Consideration.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applicable Award Agreement, (2) any portion of his or her RSU Award that has not vested will be forfeited upon such termination, and (3) the Participant will have no further right, title or interest in the Restricted Stock Award or RSU Award, the shares of Common Stock subject to or issuable pursuant to the Restricted Stock Award or RSU Award, or any consideration in respect of the Restricted Stock Award or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applicable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8.</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any Tax-Related Item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(vi) allowing the Participant to enter into a “same day sale” commitment with a broker-dealer (including, without limitation, a commitment under a previously established written trading plan that meets the requirements of Rule 10b5-1 under the Exchange Act); or (vii)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Each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the Participant and the Company or any Affiliate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Affiliate; (iii) such Participant’s material violation of any contract or agreement between the Participant and the Company or any Affiliate, the employment policies of the Company or any Affiliate, or of any statutory or other duty owed to the Company or any Affiliate; (iv) such Participant’s unauthorized use or disclosure of the confidential information or trade secrets of the Company or any Affiliate; (v) such Participant’s gross misconduct; (vi) such Participant’s failure or refusal to comply with a material directive from the Board, the Participant’s supervisor or, if applicable, the board of directors of any Affiliate; or (vii) such Participant’s breach of a fiduciary duty to the Company or any Affiliate.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Effective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Quince Therapeutics, Inc. a Delaware corporation.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xml:space="preserve">” means that the Participant’s service with the Company or an Affiliate, whether as an Employee, Director or Consultant, is not interrupted or terminated. A change in the capacity in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Regulations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that this Plan is approved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of the Company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based in whole or in part by reference to the Common Stock which is granted pursuant to the terms and conditions of Section 5(c).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may establish or provide for other adjustment items in the Award Agreement at the time the Award is granted or in such other document setting forth the Performance Goals at the time the Performance Goals are established.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Quince Therapeutics, Inc. 2026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Prior Plans</w:t>
      </w:r>
      <w:r>
        <w:rPr>
          <w:rFonts w:ascii="Times New Roman" w:hAnsi="Times New Roman"/>
          <w:sz w:val="20"/>
        </w:rPr>
        <w:t xml:space="preserve">” means (i) the Quince Therapeutics, Inc. 2019 Equity Incentive Plan, as amended from time to time, (ii) the Novosteo Inc. 2019 Equity Incentive Plan, as amended from time to time, (iii) the Quince Therapeutics, Inc. 2022 Inducement Plan, as amended from time to time, (iv) the Orphai Therapeutics Inc. 2026 Stock Incentive Plan, as amended from time to time, and (v) the Orphai Therapeutics Inc. 2013 Employee, Director and Consultant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Plans (including, but not limited to, outstanding stock awards assumed by the Company in connection with the transaction contemplated by that certain Agreement and Plan of Merger by and between the Company, Orphai Therapeutics Inc., and certain other parties, dated May 17, 2026)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as of the applicable time of measurement, the sum of (i) the number of shares of Capital Stock issued and outstanding and (ii) the number of shares of Capital Stock issuable upon the exercise of any pre-funded warrants (without regard to any beneficial ownership limitations).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Standard Form </w:t>
      </w:r>
    </w:p>
    <w:p>
      <w:pPr>
        <w:pStyle w:val="TextBody"/>
        <w:bidi w:val="0"/>
        <w:spacing w:before="24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left"/>
        <w:rPr>
          <w:rFonts w:ascii="Times New Roman" w:hAnsi="Times New Roman"/>
          <w:sz w:val="20"/>
        </w:rPr>
      </w:pPr>
      <w:r>
        <w:rPr>
          <w:rFonts w:ascii="Times New Roman" w:hAnsi="Times New Roman"/>
          <w:sz w:val="20"/>
        </w:rPr>
        <w:t>Quince Therapeutics, Inc. (the “</w:t>
      </w:r>
      <w:r>
        <w:rPr>
          <w:rFonts w:ascii="Times New Roman" w:hAnsi="Times New Roman"/>
          <w:b/>
          <w:i/>
          <w:sz w:val="20"/>
        </w:rPr>
        <w:t>Company</w:t>
      </w:r>
      <w:r>
        <w:rPr>
          <w:rFonts w:ascii="Times New Roman" w:hAnsi="Times New Roman"/>
          <w:sz w:val="20"/>
        </w:rPr>
        <w:t>”), pursuant to its 2026 Equity Incentive Plan (the “</w:t>
      </w:r>
      <w:r>
        <w:rPr>
          <w:rFonts w:ascii="Times New Roman" w:hAnsi="Times New Roman"/>
          <w:b/>
          <w:i/>
          <w:sz w:val="20"/>
        </w:rPr>
        <w:t>Plan</w:t>
      </w:r>
      <w:r>
        <w:rPr>
          <w:rFonts w:ascii="Times New Roman" w:hAnsi="Times New Roman"/>
          <w:sz w:val="20"/>
        </w:rPr>
        <w:t>”), has granted to you (“</w:t>
      </w:r>
      <w:r>
        <w:rPr>
          <w:rFonts w:ascii="Times New Roman" w:hAnsi="Times New Roman"/>
          <w:b/>
          <w:i/>
          <w:sz w:val="20"/>
        </w:rPr>
        <w:t>Optionholder</w:t>
      </w:r>
      <w:r>
        <w:rPr>
          <w:rFonts w:ascii="Times New Roman" w:hAnsi="Times New Roman"/>
          <w:sz w:val="20"/>
        </w:rPr>
        <w:t>”</w:t>
      </w:r>
      <w:r>
        <w:rPr>
          <w:rFonts w:ascii="Times New Roman" w:hAnsi="Times New Roman"/>
          <w:b/>
          <w:i/>
          <w:sz w:val="20"/>
        </w:rPr>
        <w:t>)</w:t>
      </w:r>
      <w:r>
        <w:rPr>
          <w:rFonts w:ascii="Times New Roman" w:hAnsi="Times New Roman"/>
          <w:sz w:val="20"/>
        </w:rPr>
        <w:t xml:space="preserve"> an option to purchase the number of shares of Common Stock set forth below (the “</w:t>
      </w:r>
      <w:r>
        <w:rPr>
          <w:rFonts w:ascii="Times New Roman" w:hAnsi="Times New Roman"/>
          <w:b/>
          <w:i/>
          <w:sz w:val="20"/>
        </w:rPr>
        <w:t>Option</w:t>
      </w:r>
      <w:r>
        <w:rPr>
          <w:rFonts w:ascii="Times New Roman" w:hAnsi="Times New Roman"/>
          <w:sz w:val="20"/>
        </w:rPr>
        <w:t xml:space="preserve">”).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Optionholder:</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2" w:type="dxa"/>
            <w:tcBorders/>
          </w:tcPr>
          <w:p>
            <w:pPr>
              <w:pStyle w:val="TableContents"/>
              <w:bidi w:val="0"/>
              <w:spacing w:before="0" w:after="283"/>
              <w:jc w:val="left"/>
              <w:rPr/>
            </w:pPr>
            <w:r>
              <w:rPr/>
              <w:t>Date of Grant:</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2" w:type="dxa"/>
            <w:tcBorders/>
          </w:tcPr>
          <w:p>
            <w:pPr>
              <w:pStyle w:val="TableContents"/>
              <w:bidi w:val="0"/>
              <w:spacing w:before="0" w:after="283"/>
              <w:jc w:val="left"/>
              <w:rPr/>
            </w:pPr>
            <w:r>
              <w:rPr/>
              <w:t>Vesting Commencement Date:</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2" w:type="dxa"/>
            <w:tcBorders/>
          </w:tcPr>
          <w:p>
            <w:pPr>
              <w:pStyle w:val="TableContents"/>
              <w:bidi w:val="0"/>
              <w:spacing w:before="0" w:after="283"/>
              <w:jc w:val="left"/>
              <w:rPr/>
            </w:pPr>
            <w:r>
              <w:rPr/>
              <w:t>Number of Shares of Common Stock Subject to Option:</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2" w:type="dxa"/>
            <w:tcBorders/>
          </w:tcPr>
          <w:p>
            <w:pPr>
              <w:pStyle w:val="TableContents"/>
              <w:bidi w:val="0"/>
              <w:spacing w:before="0" w:after="283"/>
              <w:jc w:val="left"/>
              <w:rPr/>
            </w:pPr>
            <w:r>
              <w:rPr/>
              <w:t>Exercise Price (Per Share):</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2" w:type="dxa"/>
            <w:tcBorders/>
          </w:tcPr>
          <w:p>
            <w:pPr>
              <w:pStyle w:val="TableContents"/>
              <w:bidi w:val="0"/>
              <w:spacing w:before="0" w:after="283"/>
              <w:jc w:val="left"/>
              <w:rPr/>
            </w:pPr>
            <w:r>
              <w:rPr/>
              <w:t>Total Exercise Price:</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2" w:type="dxa"/>
            <w:tcBorders/>
          </w:tcPr>
          <w:p>
            <w:pPr>
              <w:pStyle w:val="TableContents"/>
              <w:bidi w:val="0"/>
              <w:spacing w:before="0" w:after="283"/>
              <w:jc w:val="left"/>
              <w:rPr/>
            </w:pPr>
            <w:r>
              <w:rPr/>
              <w:t>Expiration Date:</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7"/>
        <w:gridCol w:w="121"/>
        <w:gridCol w:w="8467"/>
      </w:tblGrid>
      <w:tr>
        <w:trPr/>
        <w:tc>
          <w:tcPr>
            <w:tcW w:w="16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467" w:type="dxa"/>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283"/>
              <w:jc w:val="left"/>
              <w:rPr>
                <w:b/>
              </w:rPr>
            </w:pPr>
            <w:r>
              <w:rPr>
                <w:b/>
              </w:rPr>
              <w:t>Type of Grant:</w:t>
            </w:r>
          </w:p>
        </w:tc>
        <w:tc>
          <w:tcPr>
            <w:tcW w:w="121" w:type="dxa"/>
            <w:tcBorders/>
            <w:vAlign w:val="bottom"/>
          </w:tcPr>
          <w:p>
            <w:pPr>
              <w:pStyle w:val="TableContents"/>
              <w:bidi w:val="0"/>
              <w:spacing w:before="0" w:after="283"/>
              <w:jc w:val="left"/>
              <w:rPr/>
            </w:pPr>
            <w:r>
              <w:rPr/>
              <w:t>  </w:t>
            </w:r>
          </w:p>
        </w:tc>
        <w:tc>
          <w:tcPr>
            <w:tcW w:w="8467" w:type="dxa"/>
            <w:tcBorders/>
          </w:tcPr>
          <w:p>
            <w:pPr>
              <w:pStyle w:val="TableContents"/>
              <w:bidi w:val="0"/>
              <w:spacing w:before="0" w:after="283"/>
              <w:jc w:val="left"/>
              <w:rPr/>
            </w:pPr>
            <w:r>
              <w:rPr/>
              <w:t xml:space="preserve">[Incentive Stock Option] </w:t>
            </w:r>
            <w:r>
              <w:rPr>
                <w:u w:val="single"/>
              </w:rPr>
              <w:t>OR</w:t>
            </w:r>
            <w:r>
              <w:rPr/>
              <w:t xml:space="preserve"> [Nonstatutory Stock Option]</w:t>
            </w:r>
          </w:p>
        </w:tc>
      </w:tr>
      <w:tr>
        <w:trPr>
          <w:trHeight w:val="120" w:hRule="atLeast"/>
        </w:trPr>
        <w:tc>
          <w:tcPr>
            <w:tcW w:w="1617" w:type="dxa"/>
            <w:tcBorders/>
            <w:vAlign w:val="center"/>
          </w:tcPr>
          <w:p>
            <w:pPr>
              <w:pStyle w:val="TableContents"/>
              <w:bidi w:val="0"/>
              <w:spacing w:before="0" w:after="283"/>
              <w:jc w:val="left"/>
              <w:rPr>
                <w:sz w:val="4"/>
                <w:szCs w:val="4"/>
              </w:rPr>
            </w:pPr>
            <w:r>
              <w:rPr>
                <w:sz w:val="4"/>
                <w:szCs w:val="4"/>
              </w:rPr>
            </w:r>
          </w:p>
        </w:tc>
        <w:tc>
          <w:tcPr>
            <w:tcW w:w="8588" w:type="dxa"/>
            <w:gridSpan w:val="2"/>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0"/>
              <w:jc w:val="left"/>
              <w:rPr>
                <w:rFonts w:ascii="Times New Roman" w:hAnsi="Times New Roman"/>
                <w:b/>
                <w:sz w:val="20"/>
              </w:rPr>
            </w:pPr>
            <w:r>
              <w:rPr>
                <w:rFonts w:ascii="Times New Roman" w:hAnsi="Times New Roman"/>
                <w:b/>
                <w:sz w:val="20"/>
              </w:rPr>
              <w:t>Exercise and</w:t>
            </w:r>
          </w:p>
          <w:p>
            <w:pPr>
              <w:pStyle w:val="TableContents"/>
              <w:bidi w:val="0"/>
              <w:spacing w:before="0" w:after="20"/>
              <w:jc w:val="left"/>
              <w:rPr>
                <w:rFonts w:ascii="Times New Roman" w:hAnsi="Times New Roman"/>
                <w:b/>
                <w:sz w:val="20"/>
              </w:rPr>
            </w:pPr>
            <w:r>
              <w:rPr>
                <w:rFonts w:ascii="Times New Roman" w:hAnsi="Times New Roman"/>
                <w:b/>
                <w:sz w:val="20"/>
              </w:rPr>
              <w:t>Vesting Schedule:</w:t>
            </w:r>
          </w:p>
        </w:tc>
        <w:tc>
          <w:tcPr>
            <w:tcW w:w="121" w:type="dxa"/>
            <w:tcBorders/>
            <w:vAlign w:val="bottom"/>
          </w:tcPr>
          <w:p>
            <w:pPr>
              <w:pStyle w:val="TableContents"/>
              <w:bidi w:val="0"/>
              <w:spacing w:before="0" w:after="283"/>
              <w:jc w:val="left"/>
              <w:rPr/>
            </w:pPr>
            <w:r>
              <w:rPr/>
              <w:t>  </w:t>
            </w:r>
          </w:p>
        </w:tc>
        <w:tc>
          <w:tcPr>
            <w:tcW w:w="8467" w:type="dxa"/>
            <w:tcBorders/>
          </w:tcPr>
          <w:p>
            <w:pPr>
              <w:pStyle w:val="TableContents"/>
              <w:bidi w:val="0"/>
              <w:spacing w:before="0" w:after="283"/>
              <w:jc w:val="left"/>
              <w:rPr/>
            </w:pPr>
            <w:r>
              <w:rPr/>
              <w:t>Subject to the Optionholder’s Continuous Service through each applicable vesting date, the Option will vest as follows:</w:t>
            </w:r>
          </w:p>
        </w:tc>
      </w:tr>
      <w:tr>
        <w:trPr>
          <w:trHeight w:val="120" w:hRule="atLeast"/>
        </w:trPr>
        <w:tc>
          <w:tcPr>
            <w:tcW w:w="1617" w:type="dxa"/>
            <w:tcBorders/>
            <w:vAlign w:val="center"/>
          </w:tcPr>
          <w:p>
            <w:pPr>
              <w:pStyle w:val="TableContents"/>
              <w:bidi w:val="0"/>
              <w:spacing w:before="0" w:after="283"/>
              <w:jc w:val="left"/>
              <w:rPr>
                <w:sz w:val="4"/>
                <w:szCs w:val="4"/>
              </w:rPr>
            </w:pPr>
            <w:r>
              <w:rPr>
                <w:sz w:val="4"/>
                <w:szCs w:val="4"/>
              </w:rPr>
            </w:r>
          </w:p>
        </w:tc>
        <w:tc>
          <w:tcPr>
            <w:tcW w:w="8588" w:type="dxa"/>
            <w:gridSpan w:val="2"/>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467" w:type="dxa"/>
            <w:tcBorders/>
          </w:tcPr>
          <w:p>
            <w:pPr>
              <w:pStyle w:val="TableContents"/>
              <w:bidi w:val="0"/>
              <w:spacing w:before="0" w:after="283"/>
              <w:jc w:val="left"/>
              <w:rPr/>
            </w:pPr>
            <w:r>
              <w:rPr/>
              <w:t>[__________________________________________________________]</w:t>
            </w:r>
          </w:p>
        </w:tc>
      </w:tr>
    </w:tbl>
    <w:p>
      <w:pPr>
        <w:pStyle w:val="TextBody"/>
        <w:bidi w:val="0"/>
        <w:spacing w:before="240" w:after="0"/>
        <w:jc w:val="left"/>
        <w:rPr>
          <w:rFonts w:ascii="Times New Roman" w:hAnsi="Times New Roman"/>
          <w:sz w:val="20"/>
        </w:rPr>
      </w:pPr>
      <w:r>
        <w:rPr>
          <w:rFonts w:ascii="Times New Roman" w:hAnsi="Times New Roman"/>
          <w:b/>
          <w:sz w:val="20"/>
        </w:rPr>
        <w:t>Optionholder Acknowledgements:</w:t>
      </w:r>
      <w:r>
        <w:rPr>
          <w:rFonts w:ascii="Times New Roman" w:hAnsi="Times New Roman"/>
          <w:sz w:val="20"/>
        </w:rPr>
        <w:t xml:space="preserve"> By your signature below or by electronic acceptance or authentication in a form authorized by the Company, you understand and agree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Option is governed by this Stock Option Grant Notice (this “</w:t>
            </w:r>
            <w:r>
              <w:rPr>
                <w:rFonts w:ascii="Times New Roman" w:hAnsi="Times New Roman"/>
                <w:b/>
                <w:i/>
                <w:sz w:val="20"/>
              </w:rPr>
              <w:t>Grant Notice</w:t>
            </w:r>
            <w:r>
              <w:rPr>
                <w:rFonts w:ascii="Times New Roman" w:hAnsi="Times New Roman"/>
                <w:sz w:val="20"/>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hAnsi="Times New Roman"/>
                <w:b/>
                <w:i/>
                <w:sz w:val="20"/>
              </w:rPr>
              <w:t>Option Agreement</w:t>
            </w:r>
            <w:r>
              <w:rPr>
                <w:rFonts w:ascii="Times New Roman" w:hAnsi="Times New Roman"/>
                <w:sz w:val="20"/>
              </w:rPr>
              <w:t xml:space="preserve">”) may not be modified, amended or revised except in a writing signed by you and a duly authorized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Option is an Incentive Stock Option, it (plus other outstanding Incentive Stock Options granted to you) cannot be first </w:t>
            </w:r>
            <w:r>
              <w:rPr>
                <w:rFonts w:ascii="Times New Roman" w:hAnsi="Times New Roman"/>
                <w:i/>
                <w:sz w:val="20"/>
              </w:rPr>
              <w:t>exercisable</w:t>
            </w:r>
            <w:r>
              <w:rPr>
                <w:rFonts w:ascii="Times New Roman" w:hAnsi="Times New Roman"/>
                <w:sz w:val="20"/>
              </w:rPr>
              <w:t xml:space="preserve"> for more than $100,000 in value (measured by exercise price) in any calendar year. Any excess over $100,000 is a Nonstatutory Stock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 and the Option Agreement set forth the entire understanding between you and the Company regarding the acquisition of Common Stock and supersede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27"/>
        <w:gridCol w:w="3972"/>
        <w:gridCol w:w="121"/>
        <w:gridCol w:w="318"/>
        <w:gridCol w:w="121"/>
        <w:gridCol w:w="1330"/>
        <w:gridCol w:w="206"/>
        <w:gridCol w:w="3296"/>
      </w:tblGrid>
      <w:tr>
        <w:trPr/>
        <w:tc>
          <w:tcPr>
            <w:tcW w:w="71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97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tcPr>
          <w:p>
            <w:pPr>
              <w:pStyle w:val="TableContents"/>
              <w:bidi w:val="0"/>
              <w:spacing w:before="0" w:after="283"/>
              <w:jc w:val="left"/>
              <w:rPr>
                <w:b/>
              </w:rPr>
            </w:pPr>
            <w:r>
              <w:rPr>
                <w:b/>
              </w:rPr>
              <w:t>Q</w:t>
            </w:r>
            <w:r>
              <w:rPr>
                <w:b/>
                <w:sz w:val="20"/>
              </w:rPr>
              <w:t>UINCE</w:t>
            </w:r>
            <w:r>
              <w:rPr>
                <w:b/>
              </w:rPr>
              <w:t xml:space="preserve"> T</w:t>
            </w:r>
            <w:r>
              <w:rPr>
                <w:b/>
                <w:sz w:val="20"/>
              </w:rPr>
              <w:t>HERAPEUTICS</w:t>
            </w:r>
            <w:r>
              <w:rPr>
                <w:b/>
              </w:rPr>
              <w:t>, I</w:t>
            </w:r>
            <w:r>
              <w:rPr>
                <w:b/>
                <w:sz w:val="20"/>
              </w:rPr>
              <w:t>NC</w:t>
            </w:r>
            <w:r>
              <w:rPr>
                <w:b/>
              </w:rPr>
              <w:t xml:space="preserve">. </w:t>
            </w:r>
          </w:p>
        </w:tc>
        <w:tc>
          <w:tcPr>
            <w:tcW w:w="121" w:type="dxa"/>
            <w:tcBorders/>
            <w:vAlign w:val="bottom"/>
          </w:tcPr>
          <w:p>
            <w:pPr>
              <w:pStyle w:val="TableContents"/>
              <w:bidi w:val="0"/>
              <w:spacing w:before="0" w:after="283"/>
              <w:jc w:val="left"/>
              <w:rPr/>
            </w:pPr>
            <w:r>
              <w:rPr/>
              <w:t> </w:t>
            </w:r>
          </w:p>
        </w:tc>
        <w:tc>
          <w:tcPr>
            <w:tcW w:w="31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32" w:type="dxa"/>
            <w:gridSpan w:val="3"/>
            <w:tcBorders/>
          </w:tcPr>
          <w:p>
            <w:pPr>
              <w:pStyle w:val="TableContents"/>
              <w:bidi w:val="0"/>
              <w:spacing w:before="0" w:after="283"/>
              <w:jc w:val="left"/>
              <w:rPr>
                <w:b/>
              </w:rPr>
            </w:pPr>
            <w:r>
              <w:rPr>
                <w:b/>
              </w:rPr>
              <w:t>O</w:t>
            </w:r>
            <w:r>
              <w:rPr>
                <w:b/>
                <w:sz w:val="20"/>
              </w:rPr>
              <w:t>PTIONHOLDER</w:t>
            </w:r>
            <w:r>
              <w:rPr>
                <w:b/>
              </w:rPr>
              <w:t>:</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4099" w:type="dxa"/>
            <w:gridSpan w:val="2"/>
            <w:tcBorders/>
            <w:vAlign w:val="center"/>
          </w:tcPr>
          <w:p>
            <w:pPr>
              <w:pStyle w:val="TableContents"/>
              <w:bidi w:val="0"/>
              <w:spacing w:before="0" w:after="283"/>
              <w:jc w:val="left"/>
              <w:rPr>
                <w:sz w:val="4"/>
                <w:szCs w:val="4"/>
              </w:rPr>
            </w:pPr>
            <w:r>
              <w:rPr>
                <w:sz w:val="4"/>
                <w:szCs w:val="4"/>
              </w:rPr>
            </w:r>
          </w:p>
        </w:tc>
        <w:tc>
          <w:tcPr>
            <w:tcW w:w="439" w:type="dxa"/>
            <w:gridSpan w:val="2"/>
            <w:tcBorders/>
            <w:vAlign w:val="center"/>
          </w:tcPr>
          <w:p>
            <w:pPr>
              <w:pStyle w:val="TableContents"/>
              <w:bidi w:val="0"/>
              <w:spacing w:before="0" w:after="283"/>
              <w:jc w:val="left"/>
              <w:rPr>
                <w:sz w:val="4"/>
                <w:szCs w:val="4"/>
              </w:rPr>
            </w:pPr>
            <w:r>
              <w:rPr>
                <w:sz w:val="4"/>
                <w:szCs w:val="4"/>
              </w:rPr>
            </w:r>
          </w:p>
        </w:tc>
        <w:tc>
          <w:tcPr>
            <w:tcW w:w="4953" w:type="dxa"/>
            <w:gridSpan w:val="4"/>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972"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1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32" w:type="dxa"/>
            <w:gridSpan w:val="3"/>
            <w:tcBorders/>
          </w:tcPr>
          <w:p>
            <w:pPr>
              <w:pStyle w:val="TableContents"/>
              <w:pBdr>
                <w:bottom w:val="single" w:sz="2" w:space="1" w:color="000000"/>
              </w:pBdr>
              <w:bidi w:val="0"/>
              <w:spacing w:before="0" w:after="20"/>
              <w:jc w:val="left"/>
              <w:rPr/>
            </w:pPr>
            <w:r>
              <w:rPr/>
              <w:t> </w:t>
            </w:r>
          </w:p>
        </w:tc>
      </w:tr>
      <w:tr>
        <w:trPr/>
        <w:tc>
          <w:tcPr>
            <w:tcW w:w="71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972" w:type="dxa"/>
            <w:tcBorders/>
          </w:tcPr>
          <w:p>
            <w:pPr>
              <w:pStyle w:val="TableContents"/>
              <w:bidi w:val="0"/>
              <w:spacing w:before="0" w:after="283"/>
              <w:jc w:val="center"/>
              <w:rPr/>
            </w:pPr>
            <w:r>
              <w:rPr/>
              <w:t>Signature</w:t>
            </w:r>
          </w:p>
        </w:tc>
        <w:tc>
          <w:tcPr>
            <w:tcW w:w="121" w:type="dxa"/>
            <w:tcBorders/>
            <w:vAlign w:val="bottom"/>
          </w:tcPr>
          <w:p>
            <w:pPr>
              <w:pStyle w:val="TableContents"/>
              <w:bidi w:val="0"/>
              <w:spacing w:before="0" w:after="283"/>
              <w:jc w:val="left"/>
              <w:rPr/>
            </w:pPr>
            <w:r>
              <w:rPr/>
              <w:t> </w:t>
            </w:r>
          </w:p>
        </w:tc>
        <w:tc>
          <w:tcPr>
            <w:tcW w:w="31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32" w:type="dxa"/>
            <w:gridSpan w:val="3"/>
            <w:tcBorders/>
          </w:tcPr>
          <w:p>
            <w:pPr>
              <w:pStyle w:val="TableContents"/>
              <w:bidi w:val="0"/>
              <w:spacing w:before="0" w:after="283"/>
              <w:jc w:val="center"/>
              <w:rPr/>
            </w:pPr>
            <w:r>
              <w:rPr/>
              <w:t>Signature</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4099" w:type="dxa"/>
            <w:gridSpan w:val="2"/>
            <w:tcBorders/>
            <w:vAlign w:val="center"/>
          </w:tcPr>
          <w:p>
            <w:pPr>
              <w:pStyle w:val="TableContents"/>
              <w:bidi w:val="0"/>
              <w:spacing w:before="0" w:after="283"/>
              <w:jc w:val="left"/>
              <w:rPr>
                <w:sz w:val="4"/>
                <w:szCs w:val="4"/>
              </w:rPr>
            </w:pPr>
            <w:r>
              <w:rPr>
                <w:sz w:val="4"/>
                <w:szCs w:val="4"/>
              </w:rPr>
            </w:r>
          </w:p>
        </w:tc>
        <w:tc>
          <w:tcPr>
            <w:tcW w:w="439" w:type="dxa"/>
            <w:gridSpan w:val="2"/>
            <w:tcBorders/>
            <w:vAlign w:val="center"/>
          </w:tcPr>
          <w:p>
            <w:pPr>
              <w:pStyle w:val="TableContents"/>
              <w:bidi w:val="0"/>
              <w:spacing w:before="0" w:after="283"/>
              <w:jc w:val="left"/>
              <w:rPr>
                <w:sz w:val="4"/>
                <w:szCs w:val="4"/>
              </w:rPr>
            </w:pPr>
            <w:r>
              <w:rPr>
                <w:sz w:val="4"/>
                <w:szCs w:val="4"/>
              </w:rPr>
            </w:r>
          </w:p>
        </w:tc>
        <w:tc>
          <w:tcPr>
            <w:tcW w:w="1451" w:type="dxa"/>
            <w:gridSpan w:val="2"/>
            <w:tcBorders/>
            <w:vAlign w:val="center"/>
          </w:tcPr>
          <w:p>
            <w:pPr>
              <w:pStyle w:val="TableContents"/>
              <w:bidi w:val="0"/>
              <w:spacing w:before="0" w:after="283"/>
              <w:jc w:val="left"/>
              <w:rPr>
                <w:sz w:val="4"/>
                <w:szCs w:val="4"/>
              </w:rPr>
            </w:pPr>
            <w:r>
              <w:rPr>
                <w:sz w:val="4"/>
                <w:szCs w:val="4"/>
              </w:rPr>
            </w:r>
          </w:p>
        </w:tc>
        <w:tc>
          <w:tcPr>
            <w:tcW w:w="35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3972"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1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Date:</w:t>
            </w:r>
          </w:p>
        </w:tc>
        <w:tc>
          <w:tcPr>
            <w:tcW w:w="206" w:type="dxa"/>
            <w:tcBorders/>
            <w:vAlign w:val="bottom"/>
          </w:tcPr>
          <w:p>
            <w:pPr>
              <w:pStyle w:val="TableContents"/>
              <w:bidi w:val="0"/>
              <w:spacing w:before="0" w:after="283"/>
              <w:jc w:val="left"/>
              <w:rPr/>
            </w:pPr>
            <w:r>
              <w:rPr/>
              <w:t> </w:t>
            </w:r>
          </w:p>
        </w:tc>
        <w:tc>
          <w:tcPr>
            <w:tcW w:w="3296" w:type="dxa"/>
            <w:tcBorders/>
          </w:tcPr>
          <w:p>
            <w:pPr>
              <w:pStyle w:val="TableContents"/>
              <w:pBdr>
                <w:bottom w:val="single" w:sz="2" w:space="1" w:color="000000"/>
              </w:pBdr>
              <w:bidi w:val="0"/>
              <w:spacing w:before="0" w:after="20"/>
              <w:jc w:val="left"/>
              <w:rPr/>
            </w:pPr>
            <w:r>
              <w:rPr/>
              <w:t> </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4099" w:type="dxa"/>
            <w:gridSpan w:val="2"/>
            <w:tcBorders/>
            <w:vAlign w:val="center"/>
          </w:tcPr>
          <w:p>
            <w:pPr>
              <w:pStyle w:val="TableContents"/>
              <w:bidi w:val="0"/>
              <w:spacing w:before="0" w:after="283"/>
              <w:jc w:val="left"/>
              <w:rPr>
                <w:sz w:val="4"/>
                <w:szCs w:val="4"/>
              </w:rPr>
            </w:pPr>
            <w:r>
              <w:rPr>
                <w:sz w:val="4"/>
                <w:szCs w:val="4"/>
              </w:rPr>
            </w:r>
          </w:p>
        </w:tc>
        <w:tc>
          <w:tcPr>
            <w:tcW w:w="439" w:type="dxa"/>
            <w:gridSpan w:val="2"/>
            <w:tcBorders/>
            <w:vAlign w:val="center"/>
          </w:tcPr>
          <w:p>
            <w:pPr>
              <w:pStyle w:val="TableContents"/>
              <w:bidi w:val="0"/>
              <w:spacing w:before="0" w:after="283"/>
              <w:jc w:val="left"/>
              <w:rPr>
                <w:sz w:val="4"/>
                <w:szCs w:val="4"/>
              </w:rPr>
            </w:pPr>
            <w:r>
              <w:rPr>
                <w:sz w:val="4"/>
                <w:szCs w:val="4"/>
              </w:rPr>
            </w:r>
          </w:p>
        </w:tc>
        <w:tc>
          <w:tcPr>
            <w:tcW w:w="1451" w:type="dxa"/>
            <w:gridSpan w:val="2"/>
            <w:tcBorders/>
            <w:vAlign w:val="center"/>
          </w:tcPr>
          <w:p>
            <w:pPr>
              <w:pStyle w:val="TableContents"/>
              <w:bidi w:val="0"/>
              <w:spacing w:before="0" w:after="283"/>
              <w:jc w:val="left"/>
              <w:rPr>
                <w:sz w:val="4"/>
                <w:szCs w:val="4"/>
              </w:rPr>
            </w:pPr>
            <w:r>
              <w:rPr>
                <w:sz w:val="4"/>
                <w:szCs w:val="4"/>
              </w:rPr>
            </w:r>
          </w:p>
        </w:tc>
        <w:tc>
          <w:tcPr>
            <w:tcW w:w="35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Date:</w:t>
            </w:r>
          </w:p>
        </w:tc>
        <w:tc>
          <w:tcPr>
            <w:tcW w:w="127" w:type="dxa"/>
            <w:tcBorders/>
            <w:vAlign w:val="bottom"/>
          </w:tcPr>
          <w:p>
            <w:pPr>
              <w:pStyle w:val="TableContents"/>
              <w:bidi w:val="0"/>
              <w:spacing w:before="0" w:after="283"/>
              <w:jc w:val="left"/>
              <w:rPr/>
            </w:pPr>
            <w:r>
              <w:rPr/>
              <w:t> </w:t>
            </w:r>
          </w:p>
        </w:tc>
        <w:tc>
          <w:tcPr>
            <w:tcW w:w="3972"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1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329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b/>
          <w:sz w:val="20"/>
        </w:rPr>
        <w:t>ATTACHMENTS</w:t>
      </w:r>
      <w:r>
        <w:rPr>
          <w:rFonts w:ascii="Times New Roman" w:hAnsi="Times New Roman"/>
          <w:sz w:val="20"/>
        </w:rPr>
        <w:t xml:space="preserve">: Stock Option Agreement, 2026 Equity Incentive Plan, Notice of Exercise,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Standard Form </w:t>
      </w:r>
    </w:p>
    <w:p>
      <w:pPr>
        <w:pStyle w:val="TextBody"/>
        <w:bidi w:val="0"/>
        <w:spacing w:before="480" w:after="0"/>
        <w:jc w:val="center"/>
        <w:rPr>
          <w:rFonts w:ascii="Times New Roman" w:hAnsi="Times New Roman"/>
          <w:b/>
          <w:sz w:val="20"/>
        </w:rPr>
      </w:pPr>
      <w:r>
        <w:rPr>
          <w:rFonts w:ascii="Times New Roman" w:hAnsi="Times New Roman"/>
          <w:b/>
          <w:sz w:val="20"/>
        </w:rPr>
        <w:t xml:space="preserve">ATTACHMENT I </w:t>
      </w:r>
    </w:p>
    <w:p>
      <w:pPr>
        <w:pStyle w:val="TextBody"/>
        <w:bidi w:val="0"/>
        <w:spacing w:before="24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left"/>
        <w:rPr>
          <w:rFonts w:ascii="Times New Roman" w:hAnsi="Times New Roman"/>
          <w:sz w:val="20"/>
        </w:rPr>
      </w:pPr>
      <w:r>
        <w:rPr>
          <w:rFonts w:ascii="Times New Roman" w:hAnsi="Times New Roman"/>
          <w:sz w:val="20"/>
        </w:rPr>
        <w:t>As reflected by your Stock Option Grant Notice (“</w:t>
      </w:r>
      <w:r>
        <w:rPr>
          <w:rFonts w:ascii="Times New Roman" w:hAnsi="Times New Roman"/>
          <w:b/>
          <w:i/>
          <w:sz w:val="20"/>
        </w:rPr>
        <w:t>Grant Notice</w:t>
      </w:r>
      <w:r>
        <w:rPr>
          <w:rFonts w:ascii="Times New Roman" w:hAnsi="Times New Roman"/>
          <w:sz w:val="20"/>
        </w:rPr>
        <w:t>”), Quince Therapeutics, Inc. (the “</w:t>
      </w:r>
      <w:r>
        <w:rPr>
          <w:rFonts w:ascii="Times New Roman" w:hAnsi="Times New Roman"/>
          <w:b/>
          <w:i/>
          <w:sz w:val="20"/>
        </w:rPr>
        <w:t>Company</w:t>
      </w:r>
      <w:r>
        <w:rPr>
          <w:rFonts w:ascii="Times New Roman" w:hAnsi="Times New Roman"/>
          <w:sz w:val="20"/>
        </w:rPr>
        <w:t>”) has granted you an option under its 2026 Equity Incentive Plan (the “</w:t>
      </w:r>
      <w:r>
        <w:rPr>
          <w:rFonts w:ascii="Times New Roman" w:hAnsi="Times New Roman"/>
          <w:b/>
          <w:i/>
          <w:sz w:val="20"/>
        </w:rPr>
        <w:t>Plan</w:t>
      </w:r>
      <w:r>
        <w:rPr>
          <w:rFonts w:ascii="Times New Roman" w:hAnsi="Times New Roman"/>
          <w:sz w:val="20"/>
        </w:rPr>
        <w:t>”) to purchase a number of shares of Common Stock at the exercise price indicated in your Grant Notice (the “</w:t>
      </w:r>
      <w:r>
        <w:rPr>
          <w:rFonts w:ascii="Times New Roman" w:hAnsi="Times New Roman"/>
          <w:b/>
          <w:i/>
          <w:sz w:val="20"/>
        </w:rPr>
        <w:t>Option</w:t>
      </w:r>
      <w:r>
        <w:rPr>
          <w:rFonts w:ascii="Times New Roman" w:hAnsi="Times New Roman"/>
          <w:sz w:val="20"/>
        </w:rPr>
        <w:t xml:space="preserve">”).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general terms and conditions applicable to your Option are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GOVERNING PLAN DOCUMENT.</w:t>
      </w:r>
      <w:r>
        <w:rPr>
          <w:rFonts w:ascii="Times New Roman" w:hAnsi="Times New Roman"/>
          <w:sz w:val="20"/>
        </w:rPr>
        <w:t xml:space="preserve"> Your Option is subject to all the provisions of the Plan, including but not limited to the provisions in: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Section 6 of the Plan regarding the impact of a Capitalization Adjustment, dissolution, liquidation, or Corporate Transaction on your Option;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Section 9(e) of the Plan regarding the Company’s retained rights to terminate your Continuous Service notwithstanding the grant of the Option; and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Section 8 of the Plan regarding certain Tax-Related Item withholding obligations in connection with your Option. </w:t>
      </w:r>
    </w:p>
    <w:p>
      <w:pPr>
        <w:pStyle w:val="TextBody"/>
        <w:bidi w:val="0"/>
        <w:spacing w:before="240" w:after="0"/>
        <w:jc w:val="left"/>
        <w:rPr>
          <w:rFonts w:ascii="Times New Roman" w:hAnsi="Times New Roman"/>
          <w:sz w:val="20"/>
        </w:rPr>
      </w:pPr>
      <w:r>
        <w:rPr>
          <w:rFonts w:ascii="Times New Roman" w:hAnsi="Times New Roman"/>
          <w:sz w:val="20"/>
        </w:rPr>
        <w:t xml:space="preserve">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Your Option will vest as provided in your Grant Notice, subject to the provisions contained herein and the terms of the Plan. Vesting will cease upon the termination of your Continuous Service. </w:t>
      </w:r>
    </w:p>
    <w:p>
      <w:pPr>
        <w:pStyle w:val="TextBody"/>
        <w:bidi w:val="0"/>
        <w:spacing w:before="240" w:after="0"/>
        <w:jc w:val="left"/>
        <w:rPr>
          <w:rFonts w:ascii="Times New Roman" w:hAnsi="Times New Roman"/>
          <w:b/>
          <w:sz w:val="20"/>
        </w:rPr>
      </w:pPr>
      <w:r>
        <w:rPr>
          <w:rFonts w:ascii="Times New Roman" w:hAnsi="Times New Roman"/>
          <w:b/>
          <w:sz w:val="20"/>
        </w:rPr>
        <w:t xml:space="preserve">3. EXERCISE.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the extent permitted by Applicable Law, you may pay your Option exercise price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cash, check, bank draft or money order;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subject to Company and/or Committee consent at the time of exercise, pursuant to a “cashless exercise” program as further described in Section 4(c)(ii) of the Plan if at the time of exercise the Common Stock is publicly traded;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subject to Company and/or Committee consent at the time of exercise, by delivery of previously owned shares of Common Stock as further described in Section 4(c)(iii) of the Plan;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subject to Company and/or Committee consent at the time of exercise, if the Option is a Nonstatutory Stock Option, by a “net exercise” arrangement as further described in Section 4(c)(iv) of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sz w:val="20"/>
        </w:rPr>
        <w:t>Lock-Up Period</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You may not exercise your Option before the commencement of its term or after its term expires. The term of your Option commences on the Date of Grant and expires upon the earliest of the following: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immediately upon the termination of your Continuous Service for Cause;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three months after the termination of your Continuous Service for any reason other than Cause, Disability or death;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12 months after the termination of your Continuous Service due to your Disability;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18 months after your death if you die during your Continuous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immediately upon a Corporate Transaction if the Board has determined that the Option will terminate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Expiration Date indicated in your Grant Notice; or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day before the 10th anniversary of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 </w:t>
      </w:r>
    </w:p>
    <w:p>
      <w:pPr>
        <w:pStyle w:val="TextBody"/>
        <w:bidi w:val="0"/>
        <w:spacing w:before="240" w:after="0"/>
        <w:jc w:val="left"/>
        <w:rPr>
          <w:rFonts w:ascii="Times New Roman" w:hAnsi="Times New Roman"/>
          <w:sz w:val="20"/>
        </w:rPr>
      </w:pPr>
      <w:r>
        <w:rPr>
          <w:rFonts w:ascii="Times New Roman" w:hAnsi="Times New Roman"/>
          <w:sz w:val="20"/>
        </w:rPr>
        <w:t xml:space="preserve">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WITHHOLDING OBLIGATIONS. </w:t>
      </w:r>
      <w:r>
        <w:rPr>
          <w:rFonts w:ascii="Times New Roman" w:hAnsi="Times New Roman"/>
          <w:sz w:val="20"/>
        </w:rPr>
        <w:t xml:space="preserve">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INCENTIVE STOCK OPTION DISPOSITION REQUIREMENT.</w:t>
      </w:r>
      <w:r>
        <w:rPr>
          <w:rFonts w:ascii="Times New Roman" w:hAnsi="Times New Roman"/>
          <w:sz w:val="20"/>
        </w:rPr>
        <w:t xml:space="preserve"> If your Option is an 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Except as otherwise provided in Section 4(e) of the Plan, your Option is not transferable, except by will or by the applicable laws of descent and distribution, and is exercisable during your life only by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CORPORATE TRANSACTION.</w:t>
      </w:r>
      <w:r>
        <w:rPr>
          <w:rFonts w:ascii="Times New Roman" w:hAnsi="Times New Roman"/>
          <w:sz w:val="20"/>
        </w:rPr>
        <w:t xml:space="preserve"> 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NO LIABILITY FOR TAXES.</w:t>
      </w:r>
      <w:r>
        <w:rPr>
          <w:rFonts w:ascii="Times New Roman" w:hAnsi="Times New Roman"/>
          <w:sz w:val="20"/>
        </w:rPr>
        <w:t xml:space="preserve">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to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OTHER DOCUMENTS.</w:t>
      </w:r>
      <w:r>
        <w:rPr>
          <w:rFonts w:ascii="Times New Roman" w:hAnsi="Times New Roman"/>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QUESTIONS. </w:t>
      </w:r>
      <w:r>
        <w:rPr>
          <w:rFonts w:ascii="Times New Roman" w:hAnsi="Times New Roman"/>
          <w:sz w:val="20"/>
        </w:rPr>
        <w:t xml:space="preserve">If you have questions regarding these or any other terms and conditions applicable to your Option, including a summary of the applicable federal income tax consequences please see the Prospectus. </w:t>
      </w:r>
    </w:p>
    <w:p>
      <w:pPr>
        <w:pStyle w:val="TextBody"/>
        <w:bidi w:val="0"/>
        <w:spacing w:before="480" w:after="0"/>
        <w:jc w:val="center"/>
        <w:rPr>
          <w:rFonts w:ascii="Times New Roman" w:hAnsi="Times New Roman"/>
          <w:b/>
          <w:sz w:val="20"/>
        </w:rPr>
      </w:pPr>
      <w:r>
        <w:rPr>
          <w:rFonts w:ascii="Times New Roman" w:hAnsi="Times New Roman"/>
          <w:b/>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Standard Form </w:t>
      </w:r>
    </w:p>
    <w:p>
      <w:pPr>
        <w:pStyle w:val="TextBody"/>
        <w:bidi w:val="0"/>
        <w:spacing w:before="480" w:after="0"/>
        <w:jc w:val="center"/>
        <w:rPr>
          <w:rFonts w:ascii="Times New Roman" w:hAnsi="Times New Roman"/>
          <w:b/>
          <w:sz w:val="20"/>
        </w:rPr>
      </w:pPr>
      <w:r>
        <w:rPr>
          <w:rFonts w:ascii="Times New Roman" w:hAnsi="Times New Roman"/>
          <w:b/>
          <w:sz w:val="20"/>
        </w:rPr>
        <w:t xml:space="preserve">ATTACHMENT II </w:t>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Standard Form </w:t>
      </w:r>
    </w:p>
    <w:p>
      <w:pPr>
        <w:pStyle w:val="TextBody"/>
        <w:bidi w:val="0"/>
        <w:spacing w:before="480" w:after="0"/>
        <w:jc w:val="center"/>
        <w:rPr>
          <w:rFonts w:ascii="Times New Roman" w:hAnsi="Times New Roman"/>
          <w:b/>
          <w:sz w:val="20"/>
        </w:rPr>
      </w:pPr>
      <w:r>
        <w:rPr>
          <w:rFonts w:ascii="Times New Roman" w:hAnsi="Times New Roman"/>
          <w:b/>
          <w:sz w:val="20"/>
        </w:rPr>
        <w:t xml:space="preserve">ATTACHMENT III </w:t>
      </w:r>
    </w:p>
    <w:p>
      <w:pPr>
        <w:pStyle w:val="TextBody"/>
        <w:bidi w:val="0"/>
        <w:spacing w:before="24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left"/>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611 Gateway Boulevard, Suite 273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right"/>
        <w:rPr>
          <w:rFonts w:ascii="Times New Roman" w:hAnsi="Times New Roman"/>
          <w:sz w:val="20"/>
        </w:rPr>
      </w:pPr>
      <w:r>
        <w:rPr>
          <w:rFonts w:ascii="Times New Roman" w:hAnsi="Times New Roman"/>
          <w:sz w:val="20"/>
        </w:rPr>
        <w:t xml:space="preserve">Date of Exercise: _______________ </w:t>
      </w:r>
    </w:p>
    <w:p>
      <w:pPr>
        <w:pStyle w:val="TextBody"/>
        <w:bidi w:val="0"/>
        <w:spacing w:before="240" w:after="0"/>
        <w:jc w:val="left"/>
        <w:rPr>
          <w:rFonts w:ascii="Times New Roman" w:hAnsi="Times New Roman"/>
          <w:sz w:val="20"/>
        </w:rPr>
      </w:pPr>
      <w:r>
        <w:rPr>
          <w:rFonts w:ascii="Times New Roman" w:hAnsi="Times New Roman"/>
          <w:sz w:val="20"/>
        </w:rPr>
        <w:t>This constitutes notice to Quince Therapeutics, Inc. (the “</w:t>
      </w:r>
      <w:r>
        <w:rPr>
          <w:rFonts w:ascii="Times New Roman" w:hAnsi="Times New Roman"/>
          <w:b/>
          <w:i/>
          <w:sz w:val="20"/>
        </w:rPr>
        <w:t>Company</w:t>
      </w:r>
      <w:r>
        <w:rPr>
          <w:rFonts w:ascii="Times New Roman" w:hAnsi="Times New Roman"/>
          <w:sz w:val="20"/>
        </w:rPr>
        <w:t>”) that I elect to purchase the below number of shares of Common Stock of the Company (the “</w:t>
      </w:r>
      <w:r>
        <w:rPr>
          <w:rFonts w:ascii="Times New Roman" w:hAnsi="Times New Roman"/>
          <w:b/>
          <w:i/>
          <w:sz w:val="20"/>
        </w:rPr>
        <w:t>Shares</w:t>
      </w:r>
      <w:r>
        <w:rPr>
          <w:rFonts w:ascii="Times New Roman" w:hAnsi="Times New Roman"/>
          <w:sz w:val="20"/>
        </w:rPr>
        <w:t>”) by exercising my Option for the price set forth below. Capitalized terms not explicitly defined in this Notice of Exercise but defined in the Stock Option Grant Notice, Stock Option Agreement or 2026 Equity Incentive Plan (the “</w:t>
      </w:r>
      <w:r>
        <w:rPr>
          <w:rFonts w:ascii="Times New Roman" w:hAnsi="Times New Roman"/>
          <w:b/>
          <w:i/>
          <w:sz w:val="20"/>
        </w:rPr>
        <w:t>Plan</w:t>
      </w:r>
      <w:r>
        <w:rPr>
          <w:rFonts w:ascii="Times New Roman" w:hAnsi="Times New Roman"/>
          <w:sz w:val="20"/>
        </w:rPr>
        <w:t xml:space="preserve">”) shall have the meanings set forth in the Stock Option Grant Notice, Stock Option Agreement or Plan, as applicable. Use of certain payment methods is subject to Company and/or Committee consent and certain additional requirements set forth in the Stock Option Agreement and the Plan.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89"/>
        <w:gridCol w:w="294"/>
        <w:gridCol w:w="140"/>
        <w:gridCol w:w="1704"/>
        <w:gridCol w:w="60"/>
        <w:gridCol w:w="209"/>
        <w:gridCol w:w="60"/>
        <w:gridCol w:w="1535"/>
        <w:gridCol w:w="64"/>
      </w:tblGrid>
      <w:tr>
        <w:trPr/>
        <w:tc>
          <w:tcPr>
            <w:tcW w:w="3689"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Type of Option (check one):</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left"/>
              <w:rPr/>
            </w:pPr>
            <w:r>
              <w:rPr/>
              <w:t>Incentive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left"/>
              <w:rPr/>
            </w:pPr>
            <w:r>
              <w:rPr/>
              <w:t>Nonstatutory ☐</w:t>
            </w:r>
          </w:p>
        </w:tc>
        <w:tc>
          <w:tcPr>
            <w:tcW w:w="64" w:type="dxa"/>
            <w:tcBorders/>
            <w:shd w:fill="CCEEFF" w:val="clear"/>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 of Grant:</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Number of Shares as to which Option is exercised:</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7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Certificates to be issued in name of:</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exercise price:</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4" w:type="dxa"/>
            <w:tcBorders/>
            <w:shd w:fill="CCEEFF" w:val="clear"/>
            <w:vAlign w:val="bottom"/>
          </w:tcPr>
          <w:p>
            <w:pPr>
              <w:pStyle w:val="TableContents"/>
              <w:bidi w:val="0"/>
              <w:spacing w:before="0" w:after="283"/>
              <w:jc w:val="right"/>
              <w:rPr/>
            </w:pPr>
            <w:r>
              <w:rPr/>
              <w:t>______________</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Cash, check, bank draft or money order delivered herewith:</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4" w:type="dxa"/>
            <w:tcBorders/>
            <w:vAlign w:val="bottom"/>
          </w:tcPr>
          <w:p>
            <w:pPr>
              <w:pStyle w:val="TableContents"/>
              <w:bidi w:val="0"/>
              <w:spacing w:before="0" w:after="283"/>
              <w:jc w:val="right"/>
              <w:rPr/>
            </w:pPr>
            <w:r>
              <w:rPr/>
              <w:t>______________</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of ________ Shares delivered herewith:</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4" w:type="dxa"/>
            <w:tcBorders/>
            <w:shd w:fill="CCEEFF" w:val="clear"/>
            <w:vAlign w:val="bottom"/>
          </w:tcPr>
          <w:p>
            <w:pPr>
              <w:pStyle w:val="TableContents"/>
              <w:bidi w:val="0"/>
              <w:spacing w:before="0" w:after="283"/>
              <w:jc w:val="right"/>
              <w:rPr/>
            </w:pPr>
            <w:r>
              <w:rPr/>
              <w:t>______________</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Regulation T Program (cashless exercise):</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4" w:type="dxa"/>
            <w:tcBorders/>
            <w:vAlign w:val="bottom"/>
          </w:tcPr>
          <w:p>
            <w:pPr>
              <w:pStyle w:val="TableContents"/>
              <w:bidi w:val="0"/>
              <w:spacing w:before="0" w:after="283"/>
              <w:jc w:val="right"/>
              <w:rPr/>
            </w:pPr>
            <w:r>
              <w:rPr/>
              <w:t>_____________</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of _______ Shares pursuant to net exercise:</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4" w:type="dxa"/>
            <w:tcBorders/>
            <w:shd w:fill="CCEEFF" w:val="clear"/>
            <w:vAlign w:val="bottom"/>
          </w:tcPr>
          <w:p>
            <w:pPr>
              <w:pStyle w:val="TableContents"/>
              <w:bidi w:val="0"/>
              <w:spacing w:before="0" w:after="283"/>
              <w:jc w:val="right"/>
              <w:rPr/>
            </w:pPr>
            <w:r>
              <w:rPr/>
              <w:t>_____________</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 </w:t>
      </w:r>
    </w:p>
    <w:p>
      <w:pPr>
        <w:pStyle w:val="TextBody"/>
        <w:bidi w:val="0"/>
        <w:spacing w:before="240" w:after="0"/>
        <w:jc w:val="left"/>
        <w:rPr>
          <w:rFonts w:ascii="Times New Roman" w:hAnsi="Times New Roman"/>
          <w:sz w:val="20"/>
        </w:rPr>
      </w:pPr>
      <w:r>
        <w:rPr>
          <w:rFonts w:ascii="Times New Roman" w:hAnsi="Times New Roman"/>
          <w:sz w:val="20"/>
        </w:rPr>
        <w:t>I further agree that I will not sell, dispose of, transfer, make any short sale of, grant any option for the purchase of, or enter into any hedging or similar transaction with the same economic effect as a sale with respect to any shares of Common Stock or other securities of the Company that I hold, for a period of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sz w:val="20"/>
        </w:rPr>
        <w:t>Lock-Up Period</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nothing contained in this paragraph will prevent the exercise of a repurchase option, if any, in favor of the Company during the Lock-Up Period. I further agree to execute and deliver such other agreements as may be reasonably requested by the Company or the underwriters that are consistent with the foregoing or that are necessary to give further effect thereto. I further agree that in order to enforce the foregoing covenant, the Company may impose stop--transfer instructions with respect to shares of Common Stock that I hold until the end of such period. I also agree that any transferee of any shares of Common Stock (or other securities) of the Company that I hold will be bound by this paragraph. The underwriters of the Company’s stock are intended third party beneficiaries of this paragraph and will have the right, power and authority to enforce the provisions hereof as though they were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Standard Form </w:t>
      </w:r>
    </w:p>
    <w:p>
      <w:pPr>
        <w:pStyle w:val="TextBody"/>
        <w:bidi w:val="0"/>
        <w:spacing w:before="480" w:after="0"/>
        <w:jc w:val="center"/>
        <w:rPr>
          <w:rFonts w:ascii="Times New Roman" w:hAnsi="Times New Roman"/>
          <w:b/>
          <w:sz w:val="20"/>
        </w:rPr>
      </w:pPr>
      <w:r>
        <w:rPr>
          <w:rFonts w:ascii="Times New Roman" w:hAnsi="Times New Roman"/>
          <w:b/>
          <w:sz w:val="20"/>
        </w:rPr>
        <w:t xml:space="preserve">ATTACHMENT IV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RSU AWARD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left"/>
        <w:rPr>
          <w:rFonts w:ascii="Times New Roman" w:hAnsi="Times New Roman"/>
          <w:sz w:val="20"/>
        </w:rPr>
      </w:pPr>
      <w:r>
        <w:rPr>
          <w:rFonts w:ascii="Times New Roman" w:hAnsi="Times New Roman"/>
          <w:sz w:val="20"/>
        </w:rPr>
        <w:t>Quince Therapeutics, Inc. (the “</w:t>
      </w:r>
      <w:r>
        <w:rPr>
          <w:rFonts w:ascii="Times New Roman" w:hAnsi="Times New Roman"/>
          <w:b/>
          <w:i/>
          <w:sz w:val="20"/>
        </w:rPr>
        <w:t>Company</w:t>
      </w:r>
      <w:r>
        <w:rPr>
          <w:rFonts w:ascii="Times New Roman" w:hAnsi="Times New Roman"/>
          <w:sz w:val="20"/>
        </w:rPr>
        <w:t>”) has awarded to you (the “</w:t>
      </w:r>
      <w:r>
        <w:rPr>
          <w:rFonts w:ascii="Times New Roman" w:hAnsi="Times New Roman"/>
          <w:b/>
          <w:i/>
          <w:sz w:val="20"/>
        </w:rPr>
        <w:t>Participant</w:t>
      </w:r>
      <w:r>
        <w:rPr>
          <w:rFonts w:ascii="Times New Roman" w:hAnsi="Times New Roman"/>
          <w:sz w:val="20"/>
        </w:rPr>
        <w:t>”) the number of restricted stock units specified and on the terms set forth below in consideration of your services (the “</w:t>
      </w:r>
      <w:r>
        <w:rPr>
          <w:rFonts w:ascii="Times New Roman" w:hAnsi="Times New Roman"/>
          <w:b/>
          <w:i/>
          <w:sz w:val="20"/>
        </w:rPr>
        <w:t>RSU Award</w:t>
      </w:r>
      <w:r>
        <w:rPr>
          <w:rFonts w:ascii="Times New Roman" w:hAnsi="Times New Roman"/>
          <w:sz w:val="20"/>
        </w:rPr>
        <w:t>”). Your RSU Award is subject to all of the terms and conditions as set forth herein and in the Company’s 2026 Equity Incentive Plan (the “</w:t>
      </w:r>
      <w:r>
        <w:rPr>
          <w:rFonts w:ascii="Times New Roman" w:hAnsi="Times New Roman"/>
          <w:b/>
          <w:i/>
          <w:sz w:val="20"/>
        </w:rPr>
        <w:t>Plan</w:t>
      </w:r>
      <w:r>
        <w:rPr>
          <w:rFonts w:ascii="Times New Roman" w:hAnsi="Times New Roman"/>
          <w:sz w:val="20"/>
        </w:rPr>
        <w:t>”) and the Award Agreement (the “</w:t>
      </w:r>
      <w:r>
        <w:rPr>
          <w:rFonts w:ascii="Times New Roman" w:hAnsi="Times New Roman"/>
          <w:b/>
          <w:i/>
          <w:sz w:val="20"/>
        </w:rPr>
        <w:t>Agreement</w:t>
      </w:r>
      <w:r>
        <w:rPr>
          <w:rFonts w:ascii="Times New Roman" w:hAnsi="Times New Roman"/>
          <w:sz w:val="20"/>
        </w:rPr>
        <w:t xml:space="preserve">”), which are attached hereto and incorporated herein in their entirety. Capitalized terms not explicitly defined herein but defined in the Plan or the Agreement shall have the meanings set forth in the Plan or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0"/>
        <w:gridCol w:w="107"/>
        <w:gridCol w:w="3306"/>
        <w:gridCol w:w="107"/>
        <w:gridCol w:w="3395"/>
      </w:tblGrid>
      <w:tr>
        <w:trPr/>
        <w:tc>
          <w:tcPr>
            <w:tcW w:w="329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bottom"/>
          </w:tcPr>
          <w:p>
            <w:pPr>
              <w:pStyle w:val="TableContents"/>
              <w:bidi w:val="0"/>
              <w:spacing w:before="0" w:after="283"/>
              <w:jc w:val="left"/>
              <w:rPr/>
            </w:pPr>
            <w:r>
              <w:rPr/>
              <w:t>Participant:</w:t>
            </w:r>
          </w:p>
        </w:tc>
        <w:tc>
          <w:tcPr>
            <w:tcW w:w="107" w:type="dxa"/>
            <w:tcBorders/>
            <w:vAlign w:val="bottom"/>
          </w:tcPr>
          <w:p>
            <w:pPr>
              <w:pStyle w:val="TableContents"/>
              <w:bidi w:val="0"/>
              <w:spacing w:before="0" w:after="283"/>
              <w:jc w:val="left"/>
              <w:rPr/>
            </w:pPr>
            <w:r>
              <w:rPr/>
              <w:t> </w:t>
            </w:r>
          </w:p>
        </w:tc>
        <w:tc>
          <w:tcPr>
            <w:tcW w:w="3306" w:type="dxa"/>
            <w:tcBorders/>
            <w:vAlign w:val="bottom"/>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sz w:val="4"/>
                <w:szCs w:val="4"/>
              </w:rPr>
            </w:pPr>
            <w:r>
              <w:rPr>
                <w:sz w:val="4"/>
                <w:szCs w:val="4"/>
              </w:rPr>
            </w:r>
          </w:p>
        </w:tc>
      </w:tr>
      <w:tr>
        <w:trPr/>
        <w:tc>
          <w:tcPr>
            <w:tcW w:w="3290" w:type="dxa"/>
            <w:tcBorders/>
            <w:vAlign w:val="bottom"/>
          </w:tcPr>
          <w:p>
            <w:pPr>
              <w:pStyle w:val="TableContents"/>
              <w:bidi w:val="0"/>
              <w:spacing w:before="0" w:after="283"/>
              <w:jc w:val="left"/>
              <w:rPr/>
            </w:pPr>
            <w:r>
              <w:rPr/>
              <w:t>Date of Grant:</w:t>
            </w:r>
          </w:p>
        </w:tc>
        <w:tc>
          <w:tcPr>
            <w:tcW w:w="107" w:type="dxa"/>
            <w:tcBorders/>
            <w:vAlign w:val="bottom"/>
          </w:tcPr>
          <w:p>
            <w:pPr>
              <w:pStyle w:val="TableContents"/>
              <w:bidi w:val="0"/>
              <w:spacing w:before="0" w:after="283"/>
              <w:jc w:val="left"/>
              <w:rPr/>
            </w:pPr>
            <w:r>
              <w:rPr/>
              <w:t> </w:t>
            </w:r>
          </w:p>
        </w:tc>
        <w:tc>
          <w:tcPr>
            <w:tcW w:w="3306" w:type="dxa"/>
            <w:tcBorders/>
            <w:vAlign w:val="bottom"/>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sz w:val="4"/>
                <w:szCs w:val="4"/>
              </w:rPr>
            </w:pPr>
            <w:r>
              <w:rPr>
                <w:sz w:val="4"/>
                <w:szCs w:val="4"/>
              </w:rPr>
            </w:r>
          </w:p>
        </w:tc>
      </w:tr>
      <w:tr>
        <w:trPr/>
        <w:tc>
          <w:tcPr>
            <w:tcW w:w="3290" w:type="dxa"/>
            <w:tcBorders/>
            <w:vAlign w:val="bottom"/>
          </w:tcPr>
          <w:p>
            <w:pPr>
              <w:pStyle w:val="TableContents"/>
              <w:bidi w:val="0"/>
              <w:spacing w:before="0" w:after="283"/>
              <w:jc w:val="left"/>
              <w:rPr/>
            </w:pPr>
            <w:r>
              <w:rPr/>
              <w:t>Vesting Commencement Date:</w:t>
            </w:r>
          </w:p>
        </w:tc>
        <w:tc>
          <w:tcPr>
            <w:tcW w:w="107" w:type="dxa"/>
            <w:tcBorders/>
            <w:vAlign w:val="bottom"/>
          </w:tcPr>
          <w:p>
            <w:pPr>
              <w:pStyle w:val="TableContents"/>
              <w:bidi w:val="0"/>
              <w:spacing w:before="0" w:after="283"/>
              <w:jc w:val="left"/>
              <w:rPr/>
            </w:pPr>
            <w:r>
              <w:rPr/>
              <w:t> </w:t>
            </w:r>
          </w:p>
        </w:tc>
        <w:tc>
          <w:tcPr>
            <w:tcW w:w="3306" w:type="dxa"/>
            <w:tcBorders/>
            <w:vAlign w:val="bottom"/>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sz w:val="4"/>
                <w:szCs w:val="4"/>
              </w:rPr>
            </w:pPr>
            <w:r>
              <w:rPr>
                <w:sz w:val="4"/>
                <w:szCs w:val="4"/>
              </w:rPr>
            </w:r>
          </w:p>
        </w:tc>
      </w:tr>
      <w:tr>
        <w:trPr/>
        <w:tc>
          <w:tcPr>
            <w:tcW w:w="3290" w:type="dxa"/>
            <w:tcBorders/>
            <w:vAlign w:val="bottom"/>
          </w:tcPr>
          <w:p>
            <w:pPr>
              <w:pStyle w:val="TableContents"/>
              <w:bidi w:val="0"/>
              <w:spacing w:before="0" w:after="283"/>
              <w:jc w:val="left"/>
              <w:rPr/>
            </w:pPr>
            <w:r>
              <w:rPr/>
              <w:t>Number of Restricted Stock Units: </w:t>
            </w:r>
          </w:p>
        </w:tc>
        <w:tc>
          <w:tcPr>
            <w:tcW w:w="107" w:type="dxa"/>
            <w:tcBorders/>
            <w:vAlign w:val="bottom"/>
          </w:tcPr>
          <w:p>
            <w:pPr>
              <w:pStyle w:val="TableContents"/>
              <w:bidi w:val="0"/>
              <w:spacing w:before="0" w:after="283"/>
              <w:jc w:val="left"/>
              <w:rPr/>
            </w:pPr>
            <w:r>
              <w:rPr/>
              <w:t> </w:t>
            </w:r>
          </w:p>
        </w:tc>
        <w:tc>
          <w:tcPr>
            <w:tcW w:w="3306" w:type="dxa"/>
            <w:tcBorders/>
            <w:vAlign w:val="bottom"/>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7"/>
        <w:gridCol w:w="123"/>
        <w:gridCol w:w="8215"/>
      </w:tblGrid>
      <w:tr>
        <w:trPr/>
        <w:tc>
          <w:tcPr>
            <w:tcW w:w="186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215" w:type="dxa"/>
            <w:tcBorders/>
            <w:vAlign w:val="center"/>
          </w:tcPr>
          <w:p>
            <w:pPr>
              <w:pStyle w:val="TableContents"/>
              <w:bidi w:val="0"/>
              <w:spacing w:before="0" w:after="283"/>
              <w:jc w:val="left"/>
              <w:rPr>
                <w:sz w:val="4"/>
                <w:szCs w:val="4"/>
              </w:rPr>
            </w:pPr>
            <w:r>
              <w:rPr>
                <w:sz w:val="4"/>
                <w:szCs w:val="4"/>
              </w:rPr>
            </w:r>
          </w:p>
        </w:tc>
      </w:tr>
      <w:tr>
        <w:trPr/>
        <w:tc>
          <w:tcPr>
            <w:tcW w:w="1867" w:type="dxa"/>
            <w:tcBorders/>
          </w:tcPr>
          <w:p>
            <w:pPr>
              <w:pStyle w:val="TableContents"/>
              <w:bidi w:val="0"/>
              <w:spacing w:before="0" w:after="283"/>
              <w:jc w:val="left"/>
              <w:rPr>
                <w:b/>
              </w:rPr>
            </w:pPr>
            <w:r>
              <w:rPr>
                <w:b/>
              </w:rPr>
              <w:t>Vesting Schedule:</w:t>
            </w:r>
          </w:p>
        </w:tc>
        <w:tc>
          <w:tcPr>
            <w:tcW w:w="123"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r>
              <w:rPr/>
              <w:t>Subject to your Continuous Service through each applicable vesting date, the RSU Award will vest as follows: [_____]</w:t>
            </w:r>
          </w:p>
        </w:tc>
      </w:tr>
      <w:tr>
        <w:trPr>
          <w:trHeight w:val="195" w:hRule="atLeast"/>
        </w:trPr>
        <w:tc>
          <w:tcPr>
            <w:tcW w:w="1867" w:type="dxa"/>
            <w:tcBorders/>
            <w:vAlign w:val="center"/>
          </w:tcPr>
          <w:p>
            <w:pPr>
              <w:pStyle w:val="TableContents"/>
              <w:bidi w:val="0"/>
              <w:spacing w:before="0" w:after="283"/>
              <w:jc w:val="left"/>
              <w:rPr>
                <w:sz w:val="4"/>
                <w:szCs w:val="4"/>
              </w:rPr>
            </w:pPr>
            <w:r>
              <w:rPr>
                <w:sz w:val="4"/>
                <w:szCs w:val="4"/>
              </w:rPr>
            </w:r>
          </w:p>
        </w:tc>
        <w:tc>
          <w:tcPr>
            <w:tcW w:w="8338" w:type="dxa"/>
            <w:gridSpan w:val="2"/>
            <w:tcBorders/>
            <w:vAlign w:val="center"/>
          </w:tcPr>
          <w:p>
            <w:pPr>
              <w:pStyle w:val="TableContents"/>
              <w:bidi w:val="0"/>
              <w:spacing w:before="0" w:after="283"/>
              <w:jc w:val="left"/>
              <w:rPr>
                <w:sz w:val="4"/>
                <w:szCs w:val="4"/>
              </w:rPr>
            </w:pPr>
            <w:r>
              <w:rPr>
                <w:sz w:val="4"/>
                <w:szCs w:val="4"/>
              </w:rPr>
            </w:r>
          </w:p>
        </w:tc>
      </w:tr>
      <w:tr>
        <w:trPr/>
        <w:tc>
          <w:tcPr>
            <w:tcW w:w="1867" w:type="dxa"/>
            <w:tcBorders/>
          </w:tcPr>
          <w:p>
            <w:pPr>
              <w:pStyle w:val="TableContents"/>
              <w:bidi w:val="0"/>
              <w:spacing w:before="0" w:after="283"/>
              <w:jc w:val="left"/>
              <w:rPr>
                <w:b/>
              </w:rPr>
            </w:pPr>
            <w:r>
              <w:rPr>
                <w:b/>
              </w:rPr>
              <w:t>Issuance Schedule:</w:t>
            </w:r>
          </w:p>
        </w:tc>
        <w:tc>
          <w:tcPr>
            <w:tcW w:w="123"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r>
              <w:rPr/>
              <w:t>One share of Common Stock will be issued for each restricted stock unit which vests at the time set forth in Section 6 of the Agreement.</w:t>
            </w:r>
          </w:p>
        </w:tc>
      </w:tr>
    </w:tbl>
    <w:p>
      <w:pPr>
        <w:pStyle w:val="TextBody"/>
        <w:bidi w:val="0"/>
        <w:spacing w:before="240" w:after="0"/>
        <w:jc w:val="left"/>
        <w:rPr>
          <w:rFonts w:ascii="Times New Roman" w:hAnsi="Times New Roman"/>
          <w:sz w:val="20"/>
        </w:rPr>
      </w:pPr>
      <w:r>
        <w:rPr>
          <w:rFonts w:ascii="Times New Roman" w:hAnsi="Times New Roman"/>
          <w:b/>
          <w:sz w:val="20"/>
        </w:rPr>
        <w:t>Participant Acknowledgements:</w:t>
      </w:r>
      <w:r>
        <w:rPr>
          <w:rFonts w:ascii="Times New Roman" w:hAnsi="Times New Roman"/>
          <w:sz w:val="20"/>
        </w:rPr>
        <w:t xml:space="preserve"> By your signature below or by electronic acceptance or authentication in a form authorized by the Company, you understand and agree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RSU Award is governed by this RSU Award Grant Notice (the “</w:t>
            </w:r>
            <w:r>
              <w:rPr>
                <w:rFonts w:ascii="Times New Roman" w:hAnsi="Times New Roman"/>
                <w:b/>
                <w:i/>
                <w:sz w:val="20"/>
              </w:rPr>
              <w:t>Grant Notice</w:t>
            </w:r>
            <w:r>
              <w:rPr>
                <w:rFonts w:ascii="Times New Roman" w:hAnsi="Times New Roman"/>
                <w:sz w:val="20"/>
              </w:rPr>
              <w:t>”), and the provisions of the Plan and the Agreement, all of which are made a part of this document. Unless otherwise provided in the Plan, this Grant Notice and the Agreement (together, the “</w:t>
            </w:r>
            <w:r>
              <w:rPr>
                <w:rFonts w:ascii="Times New Roman" w:hAnsi="Times New Roman"/>
                <w:b/>
                <w:i/>
                <w:sz w:val="20"/>
              </w:rPr>
              <w:t>RSU Award Agreement</w:t>
            </w:r>
            <w:r>
              <w:rPr>
                <w:rFonts w:ascii="Times New Roman" w:hAnsi="Times New Roman"/>
                <w:sz w:val="20"/>
              </w:rPr>
              <w:t xml:space="preserve">”) may not be modified, amended or revised except in a writing signed by you and a duly authorized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consent to receive this Grant Notice, the Agreement, the Plan, the Prospectus and any other Plan-related documents by electronic delivery and to participate in the Plan through an on-line or electronic system established and maintained by the Company or another third party designated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 and the RSU Award Agreement set forth the entire understanding between you and the Company regarding the acquisition of Common Stock and supersede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6"/>
        <w:gridCol w:w="551"/>
        <w:gridCol w:w="2914"/>
        <w:gridCol w:w="167"/>
        <w:gridCol w:w="23"/>
        <w:gridCol w:w="167"/>
        <w:gridCol w:w="1138"/>
        <w:gridCol w:w="288"/>
        <w:gridCol w:w="2791"/>
      </w:tblGrid>
      <w:tr>
        <w:trPr/>
        <w:tc>
          <w:tcPr>
            <w:tcW w:w="2166"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5631" w:type="dxa"/>
            <w:gridSpan w:val="3"/>
            <w:tcBorders/>
          </w:tcPr>
          <w:p>
            <w:pPr>
              <w:pStyle w:val="TableContents"/>
              <w:bidi w:val="0"/>
              <w:spacing w:before="0" w:after="283"/>
              <w:jc w:val="left"/>
              <w:rPr>
                <w:b/>
              </w:rPr>
            </w:pPr>
            <w:r>
              <w:rPr>
                <w:b/>
              </w:rPr>
              <w:t>Q</w:t>
            </w:r>
            <w:r>
              <w:rPr>
                <w:b/>
                <w:sz w:val="20"/>
              </w:rPr>
              <w:t>UINCE</w:t>
            </w:r>
            <w:r>
              <w:rPr>
                <w:b/>
              </w:rPr>
              <w:t> T</w:t>
            </w:r>
            <w:r>
              <w:rPr>
                <w:b/>
                <w:sz w:val="20"/>
              </w:rPr>
              <w:t>HERAPEUTICS</w:t>
            </w:r>
            <w:r>
              <w:rPr>
                <w:b/>
              </w:rPr>
              <w:t>, I</w:t>
            </w:r>
            <w:r>
              <w:rPr>
                <w:b/>
                <w:sz w:val="20"/>
              </w:rPr>
              <w:t>NC</w:t>
            </w:r>
            <w:r>
              <w:rPr>
                <w:b/>
              </w:rPr>
              <w:t>.</w:t>
            </w:r>
          </w:p>
        </w:tc>
        <w:tc>
          <w:tcPr>
            <w:tcW w:w="167"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217" w:type="dxa"/>
            <w:gridSpan w:val="3"/>
            <w:tcBorders/>
          </w:tcPr>
          <w:p>
            <w:pPr>
              <w:pStyle w:val="TableContents"/>
              <w:bidi w:val="0"/>
              <w:spacing w:before="0" w:after="283"/>
              <w:jc w:val="left"/>
              <w:rPr>
                <w:b/>
              </w:rPr>
            </w:pPr>
            <w:r>
              <w:rPr>
                <w:b/>
              </w:rPr>
              <w:t>P</w:t>
            </w:r>
            <w:r>
              <w:rPr>
                <w:b/>
                <w:sz w:val="20"/>
              </w:rPr>
              <w:t>ARTICIPANT</w:t>
            </w:r>
            <w:r>
              <w:rPr>
                <w:b/>
              </w:rPr>
              <w:t>:</w:t>
            </w:r>
          </w:p>
        </w:tc>
      </w:tr>
      <w:tr>
        <w:trPr>
          <w:trHeight w:val="195" w:hRule="atLeast"/>
        </w:trPr>
        <w:tc>
          <w:tcPr>
            <w:tcW w:w="2166"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vAlign w:val="center"/>
          </w:tcPr>
          <w:p>
            <w:pPr>
              <w:pStyle w:val="TableContents"/>
              <w:bidi w:val="0"/>
              <w:spacing w:before="0" w:after="283"/>
              <w:jc w:val="left"/>
              <w:rPr>
                <w:sz w:val="4"/>
                <w:szCs w:val="4"/>
              </w:rPr>
            </w:pPr>
            <w:r>
              <w:rPr>
                <w:sz w:val="4"/>
                <w:szCs w:val="4"/>
              </w:rPr>
            </w:r>
          </w:p>
        </w:tc>
        <w:tc>
          <w:tcPr>
            <w:tcW w:w="4384" w:type="dxa"/>
            <w:gridSpan w:val="4"/>
            <w:tcBorders/>
            <w:vAlign w:val="center"/>
          </w:tcPr>
          <w:p>
            <w:pPr>
              <w:pStyle w:val="TableContents"/>
              <w:bidi w:val="0"/>
              <w:spacing w:before="0" w:after="283"/>
              <w:jc w:val="left"/>
              <w:rPr>
                <w:sz w:val="4"/>
                <w:szCs w:val="4"/>
              </w:rPr>
            </w:pPr>
            <w:r>
              <w:rPr>
                <w:sz w:val="4"/>
                <w:szCs w:val="4"/>
              </w:rPr>
            </w:r>
          </w:p>
        </w:tc>
      </w:tr>
      <w:tr>
        <w:trPr/>
        <w:tc>
          <w:tcPr>
            <w:tcW w:w="2166" w:type="dxa"/>
            <w:tcBorders/>
          </w:tcPr>
          <w:p>
            <w:pPr>
              <w:pStyle w:val="TableContents"/>
              <w:bidi w:val="0"/>
              <w:spacing w:before="0" w:after="283"/>
              <w:jc w:val="left"/>
              <w:rPr/>
            </w:pPr>
            <w:r>
              <w:rPr/>
              <w:t>By:</w:t>
            </w:r>
          </w:p>
        </w:tc>
        <w:tc>
          <w:tcPr>
            <w:tcW w:w="551" w:type="dxa"/>
            <w:tcBorders/>
            <w:vAlign w:val="bottom"/>
          </w:tcPr>
          <w:p>
            <w:pPr>
              <w:pStyle w:val="TableContents"/>
              <w:bidi w:val="0"/>
              <w:spacing w:before="0" w:after="283"/>
              <w:jc w:val="left"/>
              <w:rPr/>
            </w:pPr>
            <w:r>
              <w:rPr/>
              <w:t>  </w:t>
            </w:r>
          </w:p>
        </w:tc>
        <w:tc>
          <w:tcPr>
            <w:tcW w:w="2914" w:type="dxa"/>
            <w:tcBorders/>
          </w:tcPr>
          <w:p>
            <w:pPr>
              <w:pStyle w:val="TableContents"/>
              <w:pBdr>
                <w:bottom w:val="single" w:sz="2" w:space="1" w:color="000000"/>
              </w:pBdr>
              <w:bidi w:val="0"/>
              <w:spacing w:before="0" w:after="20"/>
              <w:jc w:val="left"/>
              <w:rPr/>
            </w:pPr>
            <w:r>
              <w:rPr/>
              <w:t> </w:t>
            </w:r>
          </w:p>
        </w:tc>
        <w:tc>
          <w:tcPr>
            <w:tcW w:w="167"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217" w:type="dxa"/>
            <w:gridSpan w:val="3"/>
            <w:tcBorders/>
          </w:tcPr>
          <w:p>
            <w:pPr>
              <w:pStyle w:val="TableContents"/>
              <w:pBdr>
                <w:bottom w:val="single" w:sz="2" w:space="1" w:color="000000"/>
              </w:pBdr>
              <w:bidi w:val="0"/>
              <w:spacing w:before="0" w:after="20"/>
              <w:jc w:val="left"/>
              <w:rPr/>
            </w:pPr>
            <w:r>
              <w:rPr/>
              <w:t> </w:t>
            </w:r>
          </w:p>
        </w:tc>
      </w:tr>
      <w:tr>
        <w:trPr/>
        <w:tc>
          <w:tcPr>
            <w:tcW w:w="5631" w:type="dxa"/>
            <w:gridSpan w:val="3"/>
            <w:tcBorders/>
          </w:tcPr>
          <w:p>
            <w:pPr>
              <w:pStyle w:val="TableContents"/>
              <w:bidi w:val="0"/>
              <w:spacing w:before="0" w:after="283"/>
              <w:jc w:val="center"/>
              <w:rPr/>
            </w:pPr>
            <w:r>
              <w:rPr/>
              <w:t>Signature</w:t>
            </w:r>
          </w:p>
        </w:tc>
        <w:tc>
          <w:tcPr>
            <w:tcW w:w="167"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217" w:type="dxa"/>
            <w:gridSpan w:val="3"/>
            <w:tcBorders/>
          </w:tcPr>
          <w:p>
            <w:pPr>
              <w:pStyle w:val="TableContents"/>
              <w:bidi w:val="0"/>
              <w:spacing w:before="0" w:after="283"/>
              <w:jc w:val="center"/>
              <w:rPr/>
            </w:pPr>
            <w:r>
              <w:rPr/>
              <w:t>Signature</w:t>
            </w:r>
          </w:p>
        </w:tc>
      </w:tr>
      <w:tr>
        <w:trPr>
          <w:trHeight w:val="120" w:hRule="atLeast"/>
        </w:trPr>
        <w:tc>
          <w:tcPr>
            <w:tcW w:w="2166"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vAlign w:val="center"/>
          </w:tcPr>
          <w:p>
            <w:pPr>
              <w:pStyle w:val="TableContents"/>
              <w:bidi w:val="0"/>
              <w:spacing w:before="0" w:after="283"/>
              <w:jc w:val="left"/>
              <w:rPr>
                <w:sz w:val="4"/>
                <w:szCs w:val="4"/>
              </w:rPr>
            </w:pPr>
            <w:r>
              <w:rPr>
                <w:sz w:val="4"/>
                <w:szCs w:val="4"/>
              </w:rPr>
            </w:r>
          </w:p>
        </w:tc>
        <w:tc>
          <w:tcPr>
            <w:tcW w:w="1305" w:type="dxa"/>
            <w:gridSpan w:val="2"/>
            <w:tcBorders/>
            <w:vAlign w:val="center"/>
          </w:tcPr>
          <w:p>
            <w:pPr>
              <w:pStyle w:val="TableContents"/>
              <w:bidi w:val="0"/>
              <w:spacing w:before="0" w:after="283"/>
              <w:jc w:val="left"/>
              <w:rPr>
                <w:sz w:val="4"/>
                <w:szCs w:val="4"/>
              </w:rPr>
            </w:pPr>
            <w:r>
              <w:rPr>
                <w:sz w:val="4"/>
                <w:szCs w:val="4"/>
              </w:rPr>
            </w:r>
          </w:p>
        </w:tc>
        <w:tc>
          <w:tcPr>
            <w:tcW w:w="3079" w:type="dxa"/>
            <w:gridSpan w:val="2"/>
            <w:tcBorders/>
            <w:vAlign w:val="center"/>
          </w:tcPr>
          <w:p>
            <w:pPr>
              <w:pStyle w:val="TableContents"/>
              <w:bidi w:val="0"/>
              <w:spacing w:before="0" w:after="283"/>
              <w:jc w:val="left"/>
              <w:rPr>
                <w:sz w:val="4"/>
                <w:szCs w:val="4"/>
              </w:rPr>
            </w:pPr>
            <w:r>
              <w:rPr>
                <w:sz w:val="4"/>
                <w:szCs w:val="4"/>
              </w:rPr>
            </w:r>
          </w:p>
        </w:tc>
      </w:tr>
      <w:tr>
        <w:trPr/>
        <w:tc>
          <w:tcPr>
            <w:tcW w:w="2166" w:type="dxa"/>
            <w:tcBorders/>
          </w:tcPr>
          <w:p>
            <w:pPr>
              <w:pStyle w:val="TableContents"/>
              <w:bidi w:val="0"/>
              <w:spacing w:before="0" w:after="283"/>
              <w:jc w:val="left"/>
              <w:rPr/>
            </w:pPr>
            <w:r>
              <w:rPr/>
              <w:t>Title:</w:t>
            </w:r>
          </w:p>
        </w:tc>
        <w:tc>
          <w:tcPr>
            <w:tcW w:w="551" w:type="dxa"/>
            <w:tcBorders/>
            <w:vAlign w:val="bottom"/>
          </w:tcPr>
          <w:p>
            <w:pPr>
              <w:pStyle w:val="TableContents"/>
              <w:bidi w:val="0"/>
              <w:spacing w:before="0" w:after="283"/>
              <w:jc w:val="left"/>
              <w:rPr/>
            </w:pPr>
            <w:r>
              <w:rPr/>
              <w:t>  </w:t>
            </w:r>
          </w:p>
        </w:tc>
        <w:tc>
          <w:tcPr>
            <w:tcW w:w="2914" w:type="dxa"/>
            <w:tcBorders/>
          </w:tcPr>
          <w:p>
            <w:pPr>
              <w:pStyle w:val="TableContents"/>
              <w:pBdr>
                <w:bottom w:val="single" w:sz="2" w:space="1" w:color="000000"/>
              </w:pBdr>
              <w:bidi w:val="0"/>
              <w:spacing w:before="0" w:after="20"/>
              <w:jc w:val="left"/>
              <w:rPr/>
            </w:pPr>
            <w:r>
              <w:rPr/>
              <w:t> </w:t>
            </w:r>
          </w:p>
        </w:tc>
        <w:tc>
          <w:tcPr>
            <w:tcW w:w="167"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138" w:type="dxa"/>
            <w:tcBorders/>
          </w:tcPr>
          <w:p>
            <w:pPr>
              <w:pStyle w:val="TableContents"/>
              <w:bidi w:val="0"/>
              <w:spacing w:before="0" w:after="283"/>
              <w:jc w:val="left"/>
              <w:rPr/>
            </w:pPr>
            <w:r>
              <w:rPr/>
              <w:t>Date:</w:t>
            </w:r>
          </w:p>
        </w:tc>
        <w:tc>
          <w:tcPr>
            <w:tcW w:w="288" w:type="dxa"/>
            <w:tcBorders/>
            <w:vAlign w:val="bottom"/>
          </w:tcPr>
          <w:p>
            <w:pPr>
              <w:pStyle w:val="TableContents"/>
              <w:bidi w:val="0"/>
              <w:spacing w:before="0" w:after="283"/>
              <w:jc w:val="left"/>
              <w:rPr/>
            </w:pPr>
            <w:r>
              <w:rPr/>
              <w:t>  </w:t>
            </w:r>
          </w:p>
        </w:tc>
        <w:tc>
          <w:tcPr>
            <w:tcW w:w="2791" w:type="dxa"/>
            <w:tcBorders/>
          </w:tcPr>
          <w:p>
            <w:pPr>
              <w:pStyle w:val="TableContents"/>
              <w:pBdr>
                <w:bottom w:val="single" w:sz="2" w:space="1" w:color="000000"/>
              </w:pBdr>
              <w:bidi w:val="0"/>
              <w:spacing w:before="0" w:after="20"/>
              <w:jc w:val="left"/>
              <w:rPr/>
            </w:pPr>
            <w:r>
              <w:rPr/>
              <w:t> </w:t>
            </w:r>
          </w:p>
        </w:tc>
      </w:tr>
      <w:tr>
        <w:trPr>
          <w:trHeight w:val="120" w:hRule="atLeast"/>
        </w:trPr>
        <w:tc>
          <w:tcPr>
            <w:tcW w:w="2166"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c>
          <w:tcPr>
            <w:tcW w:w="190" w:type="dxa"/>
            <w:gridSpan w:val="2"/>
            <w:tcBorders/>
            <w:vAlign w:val="center"/>
          </w:tcPr>
          <w:p>
            <w:pPr>
              <w:pStyle w:val="TableContents"/>
              <w:bidi w:val="0"/>
              <w:spacing w:before="0" w:after="283"/>
              <w:jc w:val="left"/>
              <w:rPr>
                <w:sz w:val="4"/>
                <w:szCs w:val="4"/>
              </w:rPr>
            </w:pPr>
            <w:r>
              <w:rPr>
                <w:sz w:val="4"/>
                <w:szCs w:val="4"/>
              </w:rPr>
            </w:r>
          </w:p>
        </w:tc>
        <w:tc>
          <w:tcPr>
            <w:tcW w:w="1305" w:type="dxa"/>
            <w:gridSpan w:val="2"/>
            <w:tcBorders/>
            <w:vAlign w:val="center"/>
          </w:tcPr>
          <w:p>
            <w:pPr>
              <w:pStyle w:val="TableContents"/>
              <w:bidi w:val="0"/>
              <w:spacing w:before="0" w:after="283"/>
              <w:jc w:val="left"/>
              <w:rPr>
                <w:sz w:val="4"/>
                <w:szCs w:val="4"/>
              </w:rPr>
            </w:pPr>
            <w:r>
              <w:rPr>
                <w:sz w:val="4"/>
                <w:szCs w:val="4"/>
              </w:rPr>
            </w:r>
          </w:p>
        </w:tc>
        <w:tc>
          <w:tcPr>
            <w:tcW w:w="3079" w:type="dxa"/>
            <w:gridSpan w:val="2"/>
            <w:tcBorders/>
            <w:vAlign w:val="center"/>
          </w:tcPr>
          <w:p>
            <w:pPr>
              <w:pStyle w:val="TableContents"/>
              <w:bidi w:val="0"/>
              <w:spacing w:before="0" w:after="283"/>
              <w:jc w:val="left"/>
              <w:rPr>
                <w:sz w:val="4"/>
                <w:szCs w:val="4"/>
              </w:rPr>
            </w:pPr>
            <w:r>
              <w:rPr>
                <w:sz w:val="4"/>
                <w:szCs w:val="4"/>
              </w:rPr>
            </w:r>
          </w:p>
        </w:tc>
      </w:tr>
      <w:tr>
        <w:trPr/>
        <w:tc>
          <w:tcPr>
            <w:tcW w:w="2166" w:type="dxa"/>
            <w:tcBorders/>
          </w:tcPr>
          <w:p>
            <w:pPr>
              <w:pStyle w:val="TableContents"/>
              <w:bidi w:val="0"/>
              <w:spacing w:before="0" w:after="283"/>
              <w:jc w:val="left"/>
              <w:rPr/>
            </w:pPr>
            <w:r>
              <w:rPr/>
              <w:t>Date:</w:t>
            </w:r>
          </w:p>
        </w:tc>
        <w:tc>
          <w:tcPr>
            <w:tcW w:w="551" w:type="dxa"/>
            <w:tcBorders/>
            <w:vAlign w:val="bottom"/>
          </w:tcPr>
          <w:p>
            <w:pPr>
              <w:pStyle w:val="TableContents"/>
              <w:bidi w:val="0"/>
              <w:spacing w:before="0" w:after="283"/>
              <w:jc w:val="left"/>
              <w:rPr/>
            </w:pPr>
            <w:r>
              <w:rPr/>
              <w:t>  </w:t>
            </w:r>
          </w:p>
        </w:tc>
        <w:tc>
          <w:tcPr>
            <w:tcW w:w="2914" w:type="dxa"/>
            <w:tcBorders/>
          </w:tcPr>
          <w:p>
            <w:pPr>
              <w:pStyle w:val="TableContents"/>
              <w:pBdr>
                <w:bottom w:val="single" w:sz="2" w:space="1" w:color="000000"/>
              </w:pBdr>
              <w:bidi w:val="0"/>
              <w:spacing w:before="0" w:after="20"/>
              <w:jc w:val="left"/>
              <w:rPr/>
            </w:pPr>
            <w:r>
              <w:rPr/>
              <w:t> </w:t>
            </w:r>
          </w:p>
        </w:tc>
        <w:tc>
          <w:tcPr>
            <w:tcW w:w="167"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138" w:type="dxa"/>
            <w:tcBorders/>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79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b/>
          <w:sz w:val="20"/>
        </w:rPr>
        <w:t xml:space="preserve">ATTACHMENTS: </w:t>
      </w:r>
      <w:r>
        <w:rPr>
          <w:rFonts w:ascii="Times New Roman" w:hAnsi="Times New Roman"/>
          <w:sz w:val="20"/>
        </w:rPr>
        <w:t xml:space="preserve">RSU Award Agreement, 2026 Equity Incentive Plan,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I </w:t>
      </w:r>
    </w:p>
    <w:p>
      <w:pPr>
        <w:pStyle w:val="TextBody"/>
        <w:bidi w:val="0"/>
        <w:spacing w:before="24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left"/>
        <w:rPr>
          <w:rFonts w:ascii="Times New Roman" w:hAnsi="Times New Roman"/>
          <w:sz w:val="20"/>
        </w:rPr>
      </w:pPr>
      <w:r>
        <w:rPr>
          <w:rFonts w:ascii="Times New Roman" w:hAnsi="Times New Roman"/>
          <w:sz w:val="20"/>
        </w:rPr>
        <w:t>As reflected by your RSU Award Grant Notice (“</w:t>
      </w:r>
      <w:r>
        <w:rPr>
          <w:rFonts w:ascii="Times New Roman" w:hAnsi="Times New Roman"/>
          <w:b/>
          <w:i/>
          <w:sz w:val="20"/>
        </w:rPr>
        <w:t>Grant Notice</w:t>
      </w:r>
      <w:r>
        <w:rPr>
          <w:rFonts w:ascii="Times New Roman" w:hAnsi="Times New Roman"/>
          <w:sz w:val="20"/>
        </w:rPr>
        <w:t>”), Quince Therapeutics, Inc. (the “</w:t>
      </w:r>
      <w:r>
        <w:rPr>
          <w:rFonts w:ascii="Times New Roman" w:hAnsi="Times New Roman"/>
          <w:b/>
          <w:i/>
          <w:sz w:val="20"/>
        </w:rPr>
        <w:t>Company</w:t>
      </w:r>
      <w:r>
        <w:rPr>
          <w:rFonts w:ascii="Times New Roman" w:hAnsi="Times New Roman"/>
          <w:sz w:val="20"/>
        </w:rPr>
        <w:t>”) has granted you a RSU Award under its 2026 Equity Incentive Plan (the “</w:t>
      </w:r>
      <w:r>
        <w:rPr>
          <w:rFonts w:ascii="Times New Roman" w:hAnsi="Times New Roman"/>
          <w:b/>
          <w:i/>
          <w:sz w:val="20"/>
        </w:rPr>
        <w:t>Plan</w:t>
      </w:r>
      <w:r>
        <w:rPr>
          <w:rFonts w:ascii="Times New Roman" w:hAnsi="Times New Roman"/>
          <w:sz w:val="20"/>
        </w:rPr>
        <w:t>”) for the number of restricted stock units as indicated in your Grant Notice (the “</w:t>
      </w:r>
      <w:r>
        <w:rPr>
          <w:rFonts w:ascii="Times New Roman" w:hAnsi="Times New Roman"/>
          <w:b/>
          <w:i/>
          <w:sz w:val="20"/>
        </w:rPr>
        <w:t>RSU Award</w:t>
      </w:r>
      <w:r>
        <w:rPr>
          <w:rFonts w:ascii="Times New Roman" w:hAnsi="Times New Roman"/>
          <w:sz w:val="20"/>
        </w:rPr>
        <w:t>”). The terms of your RSU Award as specified in this Award Agreement for your RSU Award (the “</w:t>
      </w:r>
      <w:r>
        <w:rPr>
          <w:rFonts w:ascii="Times New Roman" w:hAnsi="Times New Roman"/>
          <w:b/>
          <w:i/>
          <w:sz w:val="20"/>
        </w:rPr>
        <w:t>Agreement</w:t>
      </w:r>
      <w:r>
        <w:rPr>
          <w:rFonts w:ascii="Times New Roman" w:hAnsi="Times New Roman"/>
          <w:sz w:val="20"/>
        </w:rPr>
        <w:t>”) and the Grant Notice constitute your “</w:t>
      </w:r>
      <w:r>
        <w:rPr>
          <w:rFonts w:ascii="Times New Roman" w:hAnsi="Times New Roman"/>
          <w:b/>
          <w:i/>
          <w:sz w:val="20"/>
        </w:rPr>
        <w:t>RSU Award Agreement</w:t>
      </w:r>
      <w:r>
        <w:rPr>
          <w:rFonts w:ascii="Times New Roman" w:hAnsi="Times New Roman"/>
          <w:sz w:val="20"/>
        </w:rPr>
        <w:t xml:space="preserve">.” Defined terms not explicitly defined in this Agreement but defined in the Grant Notice or the Plan shall have the same definitions as in the Grant Notice or Plan,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general terms and conditions applicable to your RSU Award are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GOVERNING PLAN DOCUMENT.</w:t>
      </w:r>
      <w:r>
        <w:rPr>
          <w:rFonts w:ascii="Times New Roman" w:hAnsi="Times New Roman"/>
          <w:sz w:val="20"/>
        </w:rPr>
        <w:t xml:space="preserve"> Your RSU Award is subject to all the provisions of the Plan, including but not limited to the provisions in: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Section 6 of the Plan regarding the impact of a Capitalization Adjustment, dissolution, liquidation, or Corporate Transaction on your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Section 9(e) of the Plan regarding the Company’s retained rights to terminate your Continuous Service notwithstanding the grant of the RSU Award; and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Section 8 of the Plan regarding certain Tax-Related Item withholding obligations in connection with your RSU Award. </w:t>
      </w:r>
    </w:p>
    <w:p>
      <w:pPr>
        <w:pStyle w:val="TextBody"/>
        <w:bidi w:val="0"/>
        <w:spacing w:before="240" w:after="0"/>
        <w:jc w:val="left"/>
        <w:rPr>
          <w:rFonts w:ascii="Times New Roman" w:hAnsi="Times New Roman"/>
          <w:sz w:val="20"/>
        </w:rPr>
      </w:pPr>
      <w:r>
        <w:rPr>
          <w:rFonts w:ascii="Times New Roman" w:hAnsi="Times New Roman"/>
          <w:sz w:val="20"/>
        </w:rPr>
        <w:t xml:space="preserve">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GRANT OF THE RSU AWARD. </w:t>
      </w:r>
      <w:r>
        <w:rPr>
          <w:rFonts w:ascii="Times New Roman" w:hAnsi="Times New Roman"/>
          <w:sz w:val="20"/>
        </w:rPr>
        <w:t>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hAnsi="Times New Roman"/>
          <w:b/>
          <w:i/>
          <w:sz w:val="20"/>
        </w:rPr>
        <w:t>Restricted Stock Units</w:t>
      </w:r>
      <w:r>
        <w:rPr>
          <w:rFonts w:ascii="Times New Roman" w:hAnsi="Times New Roman"/>
          <w:sz w:val="20"/>
        </w:rPr>
        <w:t xml:space="preserve">”).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Your Restricted Stock Units will vest, if at all, in accordance with the vesting schedule provided in the Grant Notice, subject to the provisions contained herein and the terms of the Plan. Vesting will cease upon the termination of your Continuous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DIVIDENDS.</w:t>
      </w:r>
      <w:r>
        <w:rPr>
          <w:rFonts w:ascii="Times New Roman" w:hAnsi="Times New Roman"/>
          <w:sz w:val="20"/>
        </w:rPr>
        <w:t xml:space="preserve"> You shall receive no benefit or adjustment to this RSU Award with respect to any cash dividend, stock dividend or other distribution that does not result from a Capitalization Adjustment; provided, however, that this sentence will not apply with respect to any shares of Common Stock that are delivered to you in connection with your RSU Award after such shares have been delivered to you.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WITHHOLDING OBLIGATIONS.</w:t>
      </w:r>
      <w:r>
        <w:rPr>
          <w:rFonts w:ascii="Times New Roman" w:hAnsi="Times New Roman"/>
          <w:sz w:val="20"/>
        </w:rPr>
        <w:t xml:space="preserve"> As further provided in Section 8 of the Plan, you hereby authorize 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Times New Roman" w:hAnsi="Times New Roman"/>
          <w:b/>
          <w:i/>
          <w:sz w:val="20"/>
        </w:rPr>
        <w:t>Withholding Obligation</w:t>
      </w:r>
      <w:r>
        <w:rPr>
          <w:rFonts w:ascii="Times New Roman" w:hAnsi="Times New Roman"/>
          <w:sz w:val="20"/>
        </w:rPr>
        <w:t xml:space="preserve">”)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 </w:t>
      </w:r>
    </w:p>
    <w:p>
      <w:pPr>
        <w:pStyle w:val="TextBody"/>
        <w:bidi w:val="0"/>
        <w:spacing w:before="240" w:after="0"/>
        <w:jc w:val="left"/>
        <w:rPr>
          <w:rFonts w:ascii="Times New Roman" w:hAnsi="Times New Roman"/>
          <w:b/>
          <w:sz w:val="20"/>
        </w:rPr>
      </w:pPr>
      <w:r>
        <w:rPr>
          <w:rFonts w:ascii="Times New Roman" w:hAnsi="Times New Roman"/>
          <w:b/>
          <w:sz w:val="20"/>
        </w:rPr>
        <w:t xml:space="preserve">6. DATE OF ISSUANCE.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addition, the following provisions shall apply to the extent applicable at a vesting date when shares of Common Stock are registered under the Securities Act, unless otherwise determined by the Company. </w:t>
      </w:r>
      <w:r>
        <w:rPr>
          <w:rFonts w:ascii="Times New Roman" w:hAnsi="Times New Roman"/>
          <w:sz w:val="20"/>
          <w:u w:val="single"/>
        </w:rPr>
        <w:t>If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hAnsi="Times New Roman"/>
          <w:b/>
          <w:i/>
          <w:sz w:val="20"/>
        </w:rPr>
        <w:t>10b5-1 Arrangement</w:t>
      </w:r>
      <w:r>
        <w:rPr>
          <w:rFonts w:ascii="Times New Roman" w:hAnsi="Times New Roman"/>
          <w:sz w:val="20"/>
        </w:rPr>
        <w:t xml:space="preserve">”) or under such other policy expressly approved by the Company), </w:t>
      </w:r>
      <w:r>
        <w:rPr>
          <w:rFonts w:ascii="Times New Roman" w:hAnsi="Times New Roman"/>
          <w:i/>
          <w:sz w:val="20"/>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then</w:t>
      </w:r>
      <w:r>
        <w:rPr>
          <w:rFonts w:ascii="Times New Roman" w:hAnsi="Times New Roman"/>
          <w:sz w:val="20"/>
        </w:rPr>
        <w:t xml:space="preserve"> the shares that would otherwise be issued to you on the applicable vest date will not be delivered on such applicable vest date and will instead be delivered on the first business day when you are not prohibited from selling shares of the Company’s Common Stock in the open public market or on such other date determined by the Company, but in no event later than the Issuance Deadline. </w:t>
      </w:r>
    </w:p>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b/>
          <w:i/>
          <w:sz w:val="20"/>
        </w:rPr>
        <w:t>Issuance Deadline</w:t>
      </w:r>
      <w:r>
        <w:rPr>
          <w:rFonts w:ascii="Times New Roman" w:hAnsi="Times New Roman"/>
          <w:sz w:val="20"/>
        </w:rPr>
        <w:t>” means (a) December 31 of the calendar year in which the applicable vest date occurs (that is, the last day of your taxable year in which the applicable vest date occurs), or (b)</w:t>
      </w:r>
      <w:r>
        <w:rPr>
          <w:rFonts w:ascii="Times New Roman" w:hAnsi="Times New Roman"/>
          <w:sz w:val="20"/>
          <w:u w:val="single"/>
        </w:rPr>
        <w:t> if and only if</w:t>
      </w:r>
      <w:r>
        <w:rPr>
          <w:rFonts w:ascii="Times New Roman" w:hAnsi="Times New Roman"/>
          <w:sz w:val="20"/>
        </w:rPr>
        <w:t xml:space="preserve"> permitted in a manner that complies with Treasury Regulations Section 1.409A-1(b)(4), no later than the date that is the 15th day of the third calendar month of the applicable year following the year in which the shares of Common Stock issuable as a result of the applicable vest date under this Award are no longer subject to a “substantial risk of forfeiture” within the meaning of Treasury Regulations Section 1.409A-1(d).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LOCK-UP PERIOD</w:t>
      </w:r>
      <w:r>
        <w:rPr>
          <w:rFonts w:ascii="Times New Roman" w:hAnsi="Times New Roman"/>
          <w:sz w:val="20"/>
        </w:rPr>
        <w:t>. By accepting your RSU Award,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sz w:val="20"/>
        </w:rPr>
        <w:t>Lock-Up Period</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COMPLIANCE WITH SECTION</w:t>
      </w:r>
      <w:r>
        <w:rPr>
          <w:rFonts w:ascii="Times New Roman" w:hAnsi="Times New Roman"/>
          <w:sz w:val="20"/>
        </w:rPr>
        <w:t> </w:t>
      </w:r>
      <w:r>
        <w:rPr>
          <w:rFonts w:ascii="Times New Roman" w:hAnsi="Times New Roman"/>
          <w:b/>
          <w:sz w:val="20"/>
        </w:rPr>
        <w:t>409A OF THE CODE</w:t>
      </w:r>
      <w:r>
        <w:rPr>
          <w:rFonts w:ascii="Times New Roman" w:hAnsi="Times New Roman"/>
          <w:sz w:val="20"/>
        </w:rPr>
        <w:t xml:space="preserve">. Your RSU Award is intended to be exempt from or comply with Section 409A of the Code so that none of your Restricted Stock Units or the shares issuable thereunder will be subject to the additional tax imposed under Section 409A of the Code, and any ambiguities or ambiguous terms herein will be interpreted in accordance with such intent. Notwithstanding the foregoing, if it is determined that your RSU Award fails to be exempt from Section 409A and is otherwise deferred compensation subject to Section 409A, and if you are a “specified employee” (within the meaning set forth in Section 409A(a)(2)(B)(i) of the Code) as of the date of your separation from service (within the meaning of Treasury Regulations Section 1.409A-1(h)), then the issuance of any shares that would otherwise be made upon the date of the separation from service or within the first six months thereafter will not be made on the originally scheduled date(s) and will instead be issued in a lump sum on the date that is six months and one day after the date of the separation from service,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balance of the shares issued thereafter in accordance with the original vesting and issuance schedule set forth above, but if and only if such delay in the issuance of the shares is necessary to avoid the imposition of taxation on you in respect of the shares under Section 409A of the Code. Each installment of shares that vests is intended to constitute a “separate payment” for purposes of Treasury Regulations Section 1.409A-2(b)(2). Notwithstanding any contrary provision of the Plan, the Grant Notice, or of this Agreement, under no circumstances will the Company or any of its Affiliates reimburse you for any taxes or other costs under Section 409A of the Code or any other tax law or rule. All such taxes and costs are solely your responsibility.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Except as otherwise provided in the Plan, your RSU Award is not transferable, except by will or by the applicable laws of descent and distribution.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CORPORATE TRANSACTION.</w:t>
      </w:r>
      <w:r>
        <w:rPr>
          <w:rFonts w:ascii="Times New Roman" w:hAnsi="Times New Roman"/>
          <w:sz w:val="20"/>
        </w:rPr>
        <w:t xml:space="preserve"> 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NO LIABILITY FOR TAXES.</w:t>
      </w:r>
      <w:r>
        <w:rPr>
          <w:rFonts w:ascii="Times New Roman" w:hAnsi="Times New Roman"/>
          <w:sz w:val="20"/>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OTHER DOCUMENTS.</w:t>
      </w:r>
      <w:r>
        <w:rPr>
          <w:rFonts w:ascii="Times New Roman" w:hAnsi="Times New Roman"/>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QUESTIONS. </w:t>
      </w:r>
      <w:r>
        <w:rPr>
          <w:rFonts w:ascii="Times New Roman" w:hAnsi="Times New Roman"/>
          <w:sz w:val="20"/>
        </w:rPr>
        <w:t xml:space="preserve">If you have questions regarding these or any other terms and conditions applicable to your RSU Award, including a summary of the applicable federal income tax consequences, please see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II </w:t>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III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6" w:name="toc46981_23"/>
      <w:bookmarkStart w:id="7" w:name="d115238dex102.htm"/>
      <w:bookmarkStart w:id="8" w:name="ksd115238dex102"/>
      <w:bookmarkEnd w:id="6"/>
      <w:bookmarkEnd w:id="7"/>
      <w:bookmarkEnd w:id="8"/>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ADOPTED BY THE BOARD OF DIRECTORS: July 29,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October 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PURPOSE.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References herein to the Board shall be deemed to refer to the Committee except where context dictates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in good faith will not be subject to review by any person and will be final, binding and conclusive on all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OF COMMON STOCK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11(a) relating to Capitalization Adjustments, the maximum number of shares of Common Stock that may be issued under the Plan will not exceed 142,045 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Share Reserve Increase Stock outstanding as of December 31st of the preceding calendar year, and (y) 284,090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PURCHASE RIGHTS; OFFERING.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such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RIGHTS; PURCHASE PRICE.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defined by the Board in each Offering)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no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WITHDRAWAL; TERMINATION.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the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PURCHASE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federal or state, foreign or other regulatory commission, agency or other Governmental Body having jurisdiction over the Plan such authority as may be required to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CORPORATE TRANSACTIONS.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TERMINATION OR SUSPENSION OF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If the Plan is terminated, the Board, in its discretion, may elect to terminate all outstanding Offerings either immediately or upon completion of the purchase of shares of Common Stock on the next Purchase Date (which may be sooner than originally scheduled, if determined by the Board in its discretion), or may elect to permit Offerings to expire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rate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QUALIFICATION; 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Plan and any controversy arising out of or relating to the Plan will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securities, federal, state, foreign, material local or municipal or other law, statute, constitution, principle of common law, resolution, ordinance, code, edict, decree,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Quince Therapeutics, Inc., a Delaware corporation.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Contributions</w:t>
      </w:r>
      <w:r>
        <w:rPr>
          <w:rFonts w:ascii="Times New Roman" w:hAnsi="Times New Roman"/>
          <w:sz w:val="20"/>
        </w:rPr>
        <w:t xml:space="preserve">”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that this Plan is approved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“Non-423 Component”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Quince Therapeutics, Inc. 2026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as of the applicable time of measurement, the sum of (i) the number of shares of Capital Stock issued and outstanding and (ii) the number of shares of Capital Stock issuable upon the exercise of any pre-funded warrants (without regard to any beneficial ownership limitations).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31657</Words>
  <Characters>163250</Characters>
  <CharactersWithSpaces>195069</CharactersWithSpaces>
  <Paragraphs>1107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