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December 18, 2024</w:t>
      </w:r>
    </w:p>
    <w:p>
      <w:pPr>
        <w:spacing w:after="0" w:line="19"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116205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108585</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QUINCE THERAPEUTICS, INC.</w:t>
      </w:r>
    </w:p>
    <w:p>
      <w:pPr>
        <w:spacing w:after="0" w:line="46" w:lineRule="exact"/>
        <w:rPr>
          <w:sz w:val="24"/>
          <w:szCs w:val="24"/>
          <w:color w:val="auto"/>
        </w:rPr>
      </w:pPr>
    </w:p>
    <w:tbl>
      <w:tblPr>
        <w:tblLayout w:type="fixed"/>
        <w:tblInd w:w="188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240" w:type="dxa"/>
            <w:vAlign w:val="bottom"/>
            <w:gridSpan w:val="3"/>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5"/>
        </w:trPr>
        <w:tc>
          <w:tcPr>
            <w:tcW w:w="2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580" w:type="dxa"/>
            <w:vAlign w:val="bottom"/>
          </w:tcPr>
          <w:p>
            <w:pPr>
              <w:spacing w:after="0"/>
              <w:rPr>
                <w:sz w:val="20"/>
                <w:szCs w:val="20"/>
                <w:color w:val="auto"/>
              </w:rPr>
            </w:pPr>
          </w:p>
        </w:tc>
      </w:tr>
      <w:tr>
        <w:trPr>
          <w:trHeight w:val="348"/>
        </w:trPr>
        <w:tc>
          <w:tcPr>
            <w:tcW w:w="2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40" w:type="dxa"/>
            <w:vAlign w:val="bottom"/>
            <w:gridSpan w:val="3"/>
          </w:tcPr>
          <w:p>
            <w:pPr>
              <w:jc w:val="center"/>
              <w:ind w:left="3748"/>
              <w:spacing w:after="0"/>
              <w:rPr>
                <w:sz w:val="20"/>
                <w:szCs w:val="20"/>
                <w:color w:val="auto"/>
              </w:rPr>
            </w:pPr>
            <w:r>
              <w:rPr>
                <w:rFonts w:ascii="Times New Roman" w:cs="Times New Roman" w:eastAsia="Times New Roman" w:hAnsi="Times New Roman"/>
                <w:sz w:val="14"/>
                <w:szCs w:val="14"/>
                <w:b w:val="1"/>
                <w:bCs w:val="1"/>
                <w:color w:val="auto"/>
              </w:rPr>
              <w:t>90-1024039</w:t>
            </w:r>
          </w:p>
        </w:tc>
      </w:tr>
      <w:tr>
        <w:trPr>
          <w:trHeight w:val="188"/>
        </w:trPr>
        <w:tc>
          <w:tcPr>
            <w:tcW w:w="2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58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6"/>
        </w:trPr>
        <w:tc>
          <w:tcPr>
            <w:tcW w:w="2020" w:type="dxa"/>
            <w:vAlign w:val="bottom"/>
          </w:tcPr>
          <w:p>
            <w:pPr>
              <w:spacing w:after="0"/>
              <w:rPr>
                <w:sz w:val="24"/>
                <w:szCs w:val="24"/>
                <w:color w:val="auto"/>
              </w:rPr>
            </w:pPr>
          </w:p>
        </w:tc>
        <w:tc>
          <w:tcPr>
            <w:tcW w:w="5240" w:type="dxa"/>
            <w:vAlign w:val="bottom"/>
            <w:gridSpan w:val="3"/>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611 Gateway Boulevard, Suite 273</w:t>
            </w:r>
          </w:p>
        </w:tc>
      </w:tr>
      <w:tr>
        <w:trPr>
          <w:trHeight w:val="176"/>
        </w:trPr>
        <w:tc>
          <w:tcPr>
            <w:tcW w:w="2020" w:type="dxa"/>
            <w:vAlign w:val="bottom"/>
          </w:tcPr>
          <w:p>
            <w:pPr>
              <w:spacing w:after="0"/>
              <w:rPr>
                <w:sz w:val="15"/>
                <w:szCs w:val="15"/>
                <w:color w:val="auto"/>
              </w:rPr>
            </w:pPr>
          </w:p>
        </w:tc>
        <w:tc>
          <w:tcPr>
            <w:tcW w:w="5240" w:type="dxa"/>
            <w:vAlign w:val="bottom"/>
            <w:gridSpan w:val="3"/>
          </w:tcPr>
          <w:p>
            <w:pPr>
              <w:jc w:val="center"/>
              <w:ind w:right="1728"/>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90"/>
        </w:trPr>
        <w:tc>
          <w:tcPr>
            <w:tcW w:w="2020" w:type="dxa"/>
            <w:vAlign w:val="bottom"/>
          </w:tcPr>
          <w:p>
            <w:pPr>
              <w:spacing w:after="0"/>
              <w:rPr>
                <w:sz w:val="16"/>
                <w:szCs w:val="16"/>
                <w:color w:val="auto"/>
              </w:rPr>
            </w:pPr>
          </w:p>
        </w:tc>
        <w:tc>
          <w:tcPr>
            <w:tcW w:w="266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(415) 910-5717</w:t>
            </w:r>
          </w:p>
        </w:tc>
        <w:tc>
          <w:tcPr>
            <w:tcW w:w="2580" w:type="dxa"/>
            <w:vAlign w:val="bottom"/>
          </w:tcPr>
          <w:p>
            <w:pPr>
              <w:spacing w:after="0"/>
              <w:rPr>
                <w:sz w:val="16"/>
                <w:szCs w:val="16"/>
                <w:color w:val="auto"/>
              </w:rPr>
            </w:pPr>
          </w:p>
        </w:tc>
      </w:tr>
    </w:tbl>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118745</wp:posOffset>
            </wp:positionV>
            <wp:extent cx="119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4"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Dirk Thye</w:t>
      </w:r>
    </w:p>
    <w:p>
      <w:pPr>
        <w:spacing w:after="0" w:line="2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Quince Therapeutics, Inc.</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611 Gateway Boulevard, Suite 273</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(415) 910-5717</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118745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Gordon K. Ho</w:t>
      </w:r>
    </w:p>
    <w:p>
      <w:pPr>
        <w:spacing w:after="0" w:line="15"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Cooley LLP</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3175 Hanover Street</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Palo Alto, California 94304</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118745</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3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right="480"/>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0"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0" w:lineRule="exact"/>
        <w:rPr>
          <w:sz w:val="24"/>
          <w:szCs w:val="24"/>
          <w:color w:val="auto"/>
        </w:rPr>
      </w:pPr>
    </w:p>
    <w:p>
      <w:pPr>
        <w:ind w:right="380"/>
        <w:spacing w:after="0" w:line="29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60" w:type="dxa"/>
        <w:tblCellMar>
          <w:top w:w="0" w:type="dxa"/>
          <w:left w:w="0" w:type="dxa"/>
          <w:bottom w:w="0" w:type="dxa"/>
          <w:right w:w="0" w:type="dxa"/>
        </w:tblCellMar>
      </w:tblP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7" w:lineRule="exact"/>
        <w:rPr>
          <w:sz w:val="24"/>
          <w:szCs w:val="24"/>
          <w:color w:val="auto"/>
        </w:rPr>
      </w:pPr>
    </w:p>
    <w:p>
      <w:pPr>
        <w:jc w:val="both"/>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22" w:right="399" w:bottom="1440" w:gutter="0" w:footer="0" w:header="0"/>
        </w:sectPr>
      </w:pPr>
    </w:p>
    <w:bookmarkStart w:id="1" w:name="page2"/>
    <w:bookmarkEnd w:id="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contains:</w:t>
      </w:r>
    </w:p>
    <w:p>
      <w:pPr>
        <w:spacing w:after="0" w:line="171" w:lineRule="exact"/>
        <w:rPr>
          <w:sz w:val="20"/>
          <w:szCs w:val="20"/>
          <w:color w:val="auto"/>
        </w:rPr>
      </w:pPr>
    </w:p>
    <w:p>
      <w:pPr>
        <w:ind w:left="660" w:right="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the registrant of up to a maximum aggregate offering price of $200.0 million of the registrant’s common stock, preferred stock, debt securities and/or warrants from time to time in one or more offerings;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which covers the offering, issuance and sale by the registrant of up to a maximum aggregate offering price of $75.0 million of the registrant’s common stock that may be issued and sold from time to time under a sales agreement, dated December 18, 2024, with Cantor Fitzgerald &amp; Co. and H.C. Wainwright &amp; Co., LLC.</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sales agreement prospectus immediately follows the base prospectus. The $75.0 million of common stock that may be offered, issued and sold by the registrant under the sales agreement prospectus is included in the $200.0 million of securities that may be offered, issued and sold by the registrant under the base prospectus. In connection with such offers and when accompanied by the base prospectus included in the registration statement of which this prospectus forms a part, such sales agreement prospectus will be deemed a prospectus supplement to such base prospectus. Upon termination of the sales agreement with Cantor Fitzgerald &amp; Co. and H.C. Wainwright &amp; Co., LLC, any portion of the $75.0 million included in the sales agreement prospectus that is not sold pursuant to the sales agreement will be available for sale in other offerings pursuant to the base prospectus and a corresponding prospectus supplement, and if no shares are sold under the sales agreement, the full $200.0 million of securities may be sold in other offerings pursuant to the base prospectus and a corresponding prospectus supplement.</w:t>
      </w:r>
    </w:p>
    <w:p>
      <w:pPr>
        <w:sectPr>
          <w:pgSz w:w="11900" w:h="16838" w:orient="portrait"/>
          <w:cols w:equalWidth="0" w:num="1">
            <w:col w:w="11240"/>
          </w:cols>
          <w:pgMar w:left="320" w:top="1440" w:right="339" w:bottom="1440" w:gutter="0" w:footer="0" w:header="0"/>
        </w:sectPr>
      </w:pPr>
    </w:p>
    <w:bookmarkStart w:id="2" w:name="page3"/>
    <w:bookmarkEnd w:id="2"/>
    <w:p>
      <w:pPr>
        <w:ind w:right="120"/>
        <w:spacing w:after="0" w:line="259"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December 18,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5715</wp:posOffset>
            </wp:positionV>
            <wp:extent cx="2880360" cy="1140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036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Quince Therapeutics, Inc.</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129540</wp:posOffset>
            </wp:positionV>
            <wp:extent cx="1311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$200.0 million of any combination of the securities described in this prospectus, either individually or in combination, at prices and on terms described in one or more supplements to this prospectus. We may also offer common stock, common stock or preferred stock upon conversion of debt securities, common stock upon conversion of preferred stock, or common stock, preferred stock or debt securities upon exercise of warrants.</w:t>
      </w:r>
    </w:p>
    <w:p>
      <w:pPr>
        <w:spacing w:after="0" w:line="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“QNCX.” On December 17, 2024, the last reported sale price of our common stock was $1.84 per share. The applicable prospectus supplement will contain information, where applicable, as to other listings, if any, on the Nasdaq Global Select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37465</wp:posOffset>
            </wp:positionV>
            <wp:extent cx="1311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w:t>
      </w:r>
      <w:r>
        <w:rPr>
          <w:rFonts w:ascii="Times New Roman" w:cs="Times New Roman" w:eastAsia="Times New Roman" w:hAnsi="Times New Roman"/>
          <w:sz w:val="18"/>
          <w:szCs w:val="18"/>
          <w:u w:val="single" w:color="auto"/>
          <w:color w:val="0000FF"/>
        </w:rPr>
        <w:t>Plan of Distribution</w:t>
      </w:r>
      <w:r>
        <w:rPr>
          <w:rFonts w:ascii="Times New Roman" w:cs="Times New Roman" w:eastAsia="Times New Roman" w:hAnsi="Times New Roman"/>
          <w:sz w:val="18"/>
          <w:szCs w:val="18"/>
          <w:color w:val="auto"/>
        </w:rPr>
        <w:t>”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1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7" w:lineRule="exact"/>
        <w:rPr>
          <w:sz w:val="20"/>
          <w:szCs w:val="20"/>
          <w:color w:val="auto"/>
        </w:rPr>
      </w:pPr>
    </w:p>
    <w:tbl>
      <w:tblPr>
        <w:tblLayout w:type="fixed"/>
        <w:tblInd w:w="378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tc>
      </w:tr>
    </w:tbl>
    <w:p>
      <w:pPr>
        <w:sectPr>
          <w:pgSz w:w="11900" w:h="16838" w:orient="portrait"/>
          <w:cols w:equalWidth="0" w:num="1">
            <w:col w:w="11220"/>
          </w:cols>
          <w:pgMar w:left="320" w:top="927" w:right="359" w:bottom="1440" w:gutter="0" w:footer="0" w:header="0"/>
        </w:sectPr>
      </w:pPr>
    </w:p>
    <w:bookmarkStart w:id="3" w:name="page4"/>
    <w:bookmarkEnd w:id="3"/>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8"/>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6"/>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5"/>
              </w:rPr>
              <w:t>S-i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180" w:type="dxa"/>
            <w:vAlign w:val="bottom"/>
          </w:tcPr>
          <w:p>
            <w:pPr>
              <w:spacing w:after="0"/>
              <w:rPr>
                <w:sz w:val="18"/>
                <w:szCs w:val="18"/>
                <w:color w:val="auto"/>
              </w:rPr>
            </w:pPr>
          </w:p>
        </w:tc>
        <w:tc>
          <w:tcPr>
            <w:tcW w:w="812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7"/>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30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7"/>
              </w:rPr>
              <w:t>S-5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7"/>
              </w:rPr>
              <w:t>S-6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0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7"/>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S-10</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DESCRIPTION OF DEBT SECURITIES</w:t>
            </w:r>
          </w:p>
        </w:tc>
        <w:tc>
          <w:tcPr>
            <w:tcW w:w="734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OWNERSHIP OF SECURITIES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960" w:type="dxa"/>
            <w:vAlign w:val="bottom"/>
            <w:gridSpan w:val="4"/>
          </w:tcPr>
          <w:p>
            <w:pPr>
              <w:spacing w:after="0"/>
              <w:rPr>
                <w:sz w:val="18"/>
                <w:szCs w:val="18"/>
                <w:color w:val="auto"/>
              </w:rPr>
            </w:pPr>
          </w:p>
        </w:tc>
        <w:tc>
          <w:tcPr>
            <w:tcW w:w="734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890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92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c>
          <w:tcPr>
            <w:tcW w:w="0" w:type="dxa"/>
            <w:vAlign w:val="bottom"/>
          </w:tcPr>
          <w:p>
            <w:pPr>
              <w:spacing w:after="0"/>
              <w:rPr>
                <w:sz w:val="1"/>
                <w:szCs w:val="1"/>
                <w:color w:val="auto"/>
              </w:rPr>
            </w:pPr>
          </w:p>
        </w:tc>
      </w:tr>
      <w:tr>
        <w:trPr>
          <w:trHeight w:val="20"/>
        </w:trPr>
        <w:tc>
          <w:tcPr>
            <w:tcW w:w="4440" w:type="dxa"/>
            <w:vAlign w:val="bottom"/>
            <w:tcBorders>
              <w:right w:val="single" w:sz="8" w:color="0000FF"/>
            </w:tcBorders>
            <w:gridSpan w:val="10"/>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S-30</w:t>
            </w:r>
          </w:p>
        </w:tc>
        <w:tc>
          <w:tcPr>
            <w:tcW w:w="0" w:type="dxa"/>
            <w:vAlign w:val="bottom"/>
          </w:tcPr>
          <w:p>
            <w:pPr>
              <w:spacing w:after="0"/>
              <w:rPr>
                <w:sz w:val="1"/>
                <w:szCs w:val="1"/>
                <w:color w:val="auto"/>
              </w:rPr>
            </w:pPr>
          </w:p>
        </w:tc>
      </w:tr>
      <w:tr>
        <w:trPr>
          <w:trHeight w:val="304"/>
        </w:trPr>
        <w:tc>
          <w:tcPr>
            <w:tcW w:w="7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statement, we may, from time to time, offer and sell in one or more offerings common stock and preferred stock, various series of debt securities and/or warrants to purchase any of such securities, either individually or in combination with other securities, in one or more offerings, up to a total dollar amount of $200.0 million of any combination of the securities described in this prospectus. This prospectus provides you with a general description of the securities we may offer.</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or therein by reference as described under the heading “Incorporation of Certain Information by Reference,” before buying any of the securities being offered.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any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headings in the other documents that are incorporated by reference into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20"/>
          </w:cols>
          <w:pgMar w:left="320" w:top="1440" w:right="359" w:bottom="1440" w:gutter="0" w:footer="0" w:header="0"/>
        </w:sectPr>
      </w:pPr>
    </w:p>
    <w:bookmarkStart w:id="5" w:name="page6"/>
    <w:bookmarkEnd w:id="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prospectus, the applicable prospectus supplement and any related free writing prospectus. Accordingly, investors should not place undue reliance on this information.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the context requires otherwise, references to “Quince,” “the Company,” “we,” “us,” or “our” in this prospectus refer to Quince Therapeutics,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0980"/>
          </w:cols>
          <w:pgMar w:left="320" w:top="1440" w:right="5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a late-stage biotechnology company dedicated to harnessing the power of a patient’s own biology to deliver innovative therapies to those living with rare diseases.</w:t>
      </w:r>
    </w:p>
    <w:p>
      <w:pPr>
        <w:spacing w:after="0" w:line="10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Our proprietary Autologous Intracellular Drug Encapsulation (“AIDE”) technology platform is an innovative drug/device combination that uses an automated process designed to encapsulate a drug into the patient’s own red blood cells. Red blood cells have several characteristics that make them a potentially ideal vehicle for drug delivery, including potentially better tolerability, enhanced tissue distribution, reduced immunogenicity, and prolongation of circulating half-life. Our AIDE technology is designed to harness these benefits to allow for new and improved therapeutic options for patients living with high unmet medical needs. The AIDE technology platform is believed to confer several benefits over conventional therapies and can be applied to a broad range of small or large molecule drugs and biologics. Our Phase 3 lead asset, EryDex, leverages our AIDE technology to encapsulate Dexamethasone Sodium Phosphate (DSP) into a patient’s own red blood cells, and is targeted to treat a rare pediatric neurodegenerative disease, Ataxia-Telangiectasia.</w:t>
      </w:r>
    </w:p>
    <w:p>
      <w:pPr>
        <w:spacing w:after="0" w:line="11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By pioneering the delivery of a drug encapsulated in a patient’s own red blood cells, we seek to advance proprietary therapeutics that hold the potential to redefine the standard of care and meaningfully improve the quality of life for patients with rare disease.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were incorporated as Cortexyme, Inc. in Delaware on June 20, 2012. In August 2022, we changed our name to Quince Therapeutics, Inc. Our principal executive offices are located at 611 Gateway Blvd., Suite 273, South San Francisco, California 94080. Our telephone number at that location is (415) 910-5717. Our corporate website address is www.quincetx.com. References to our website address do not constitute incorporation by reference of the information contained on the website, and the information contained on the website is not part of this document.</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“Quince”, and the Quince Therapeutics, Inc. logo and other trademarks or service marks of Quince appearing in this prospectus are the property of Quince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to purchase any of such securities, either individually or in combination with other securities, up to a total dollar amount of $200.0 million,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This prospectus provides you with a general description of the securities we may offer. Each time we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13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offer a type of security or series of securities under this prospectus, we will provide a prospectus supplement that will describe the specific amounts, prices and other important terms of the securities, including, to the extent applicable:</w:t>
      </w:r>
    </w:p>
    <w:p>
      <w:pPr>
        <w:spacing w:after="0" w:line="108"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71"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122" w:lineRule="exact"/>
        <w:rPr>
          <w:sz w:val="20"/>
          <w:szCs w:val="20"/>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issue shares of our common stock from time to time.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common stock. No shares of our common stock are subject to redemption or have preemptive rights to purchase additional shares of our common stock. In this prospectus, we have summarized certain general features of the common stock under the heading “Description of Capital Stock— Common Stock.” We urge you, however, to read the applicable prospectus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9860"/>
          </w:cols>
          <w:pgMar w:left="1000" w:top="1440" w:right="10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supplement (and any related free writing prospectus that we may authorize to be provided to you) related to any common stock being offered.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to designate and issue up to 10,000,000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common stock or exchangeable for other securities. Conversion may be mandatory or at your option and would be at prescribed conversion rates.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common stock or our other securities. Conversion or exchange may be mandatory or optional (at our option or the holders’ option) and would be at prescribed conversion or exchange prices.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in combination with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253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325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9800"/>
          </w:cols>
          <w:pgMar w:left="1000" w:top="1440" w:right="1099" w:bottom="1440" w:gutter="0" w:footer="0" w:header="0"/>
        </w:sectPr>
      </w:pPr>
    </w:p>
    <w:bookmarkStart w:id="10" w:name="page11"/>
    <w:bookmarkEnd w:id="1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 statements contained in this prospectus or incorporated by reference herein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3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current strategic direction;</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research and development activities, including the scope, success, cost and timing of any future development activities, preclinical studies and clinical trials, including clinical trials of EryDex or other pipeline compounds we advance through the drug development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any potential future clinical trials, and the reporting of data from those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timing of seeking and obtaining FDA and any other regulatory approvals for our drug candidates;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or other regulatory authorities to accept any future completed or planned clinical and preclinical studies and other work, as the basis for review and approval of our drug candidates for their respective indications;</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regulatory authorities determine that additional trials or data are necessary in order to accept a new drug application for review and/or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future clinical trials to demonstrate safety and efficacy of our EryDex and other drug candidates, and other positive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 and maintain compliance with associated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drug candidates;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drug candidates, if approved for commercial use, and the potential market opportunities for commercializing our drug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drug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00"/>
          </w:cols>
          <w:pgMar w:left="320" w:top="1440" w:right="379" w:bottom="1440" w:gutter="0" w:footer="0" w:header="0"/>
        </w:sectPr>
      </w:pPr>
    </w:p>
    <w:bookmarkStart w:id="12" w:name="page13"/>
    <w:bookmarkEnd w:id="12"/>
    <w:p>
      <w:pPr>
        <w:spacing w:after="0" w:line="140" w:lineRule="exact"/>
        <w:rPr>
          <w:sz w:val="20"/>
          <w:szCs w:val="20"/>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drug candidates for which we obtain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clinical personnel, in light of recent management changes and reduction in force;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drug candidates, and for the manufacture of our drug candidates for preclinical studies and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integrity of our supply chain, including multiple single-source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suppliers for certain of our raw materials and components;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drug candidates into additional indications and patient populations;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and efficacy of our drug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information requests, clinical holds, and regulatory developments in the United States and other jurisdictions;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drug candidates, and any related restrictions, limitations and/or warnings in the label of any approved drug candidate;</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CE Certificates of conformity for the medical device components of our EryDex System in accordance with applicable legislation governing medical devices;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CE Certifications under the previous Medical Device Directive, to a regulatory framework under MDR;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organization and increase the size of our facilities to meet our anticipated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Nasdaq listing requirements;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offerings of our securities under this prospectus.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60"/>
          </w:cols>
          <w:pgMar w:left="320" w:top="1440" w:right="419" w:bottom="1440" w:gutter="0" w:footer="0" w:header="0"/>
        </w:sectPr>
      </w:pPr>
    </w:p>
    <w:bookmarkStart w:id="13" w:name="page14"/>
    <w:bookmarkEnd w:id="13"/>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40"/>
          </w:cols>
          <w:pgMar w:left="320" w:top="1440" w:right="539" w:bottom="1440" w:gutter="0" w:footer="0" w:header="0"/>
        </w:sectPr>
      </w:pPr>
    </w:p>
    <w:bookmarkStart w:id="15" w:name="page16"/>
    <w:bookmarkEnd w:id="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summary description of our capital stock is based on the provisions of our amended and restated certificate of incorporation, or the Certificate of Incorporation, and amended and restated bylaws, or the Bylaws, and the applicable provisions of the Delaware General Corporation Law, or the DGCL. This information is qualified entirely by reference to the applicable provisions of our Certificate of Incorporation and Bylaws. For information on how to obtain copies of our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have authority to issue 100,000,000 shares of our common stock, par value $0.001 per share, and we have authority, subject to any limitations prescribed by law and without further stockholder approval, to issue from time to time up to 10,000,000 shares of preferred stock, par value $0.001 per share, in one or more series.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the stockholders. Cumulative voting for the election of directors is not provided for in our restated certificate of incorporation, which means the holders of a majority of our shares of common stock can elect all of the directors then standing for election.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dividends, if any, as may be declared from time to time by the board of directors out of legally available funds.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The issuance of redeemable convertible preferred stock with voting and conversion rights may also adversely affect the voting power of the holders of common stock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likelihood that such holders will receive dividend payments and payments upon liquidation. In certain circumstances, an issuance of preferred stock could have the effect of decreasing the market price of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Amended and Restated Certificate of Incorporation and Amended and Restated Bylaws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discussed above, our board of directors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Ability of Stockholders to Act by Written Consent or Call a Special Meeting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 In addition, our amended and restated bylaws provides that special meetings of the stockholders may be called only by the chairperson of the board, the Chief Executive Officer, the lead independent director, or at the request of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Classification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one class of which is elected each year by our stockholders. The directors in each class will serve three-year terms. A third party may be discouraged from making a tender offer or otherwise attempting to obtain control of us as it is more difficult and time-consuming for stockholders to replace a majority of the directors on a classified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75" w:lineRule="exact"/>
        <w:rPr>
          <w:sz w:val="20"/>
          <w:szCs w:val="20"/>
          <w:color w:val="auto"/>
        </w:rPr>
      </w:pPr>
    </w:p>
    <w:p>
      <w:pPr>
        <w:ind w:right="12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do not permit cumulative voting in the election of directors. Cumulative voting allows a stockholder to vote a portion or all of its shares for one or more candidates for seats on the board of</w:t>
      </w: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00"/>
          </w:cols>
          <w:pgMar w:left="320" w:top="1440" w:right="379" w:bottom="1440" w:gutter="0" w:footer="0" w:header="0"/>
        </w:sectPr>
      </w:pPr>
    </w:p>
    <w:bookmarkStart w:id="17" w:name="page18"/>
    <w:bookmarkEnd w:id="1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and Bylaws Provisions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amendment of the above provisions of our amended and restated certificate of incorporation will require approval by holders of at least two thirds of our outstanding capital stock entitled to vote generally in the election of directors. The amendment of our amended and restated bylaws will require approval by the holders of at least two thirds of our outstanding capital stock entitled to vote generally in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22" w:lineRule="exact"/>
        <w:rPr>
          <w:sz w:val="20"/>
          <w:szCs w:val="20"/>
          <w:color w:val="auto"/>
        </w:rPr>
      </w:pPr>
    </w:p>
    <w:p>
      <w:pPr>
        <w:ind w:left="660" w:right="6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our board of directors approved either the business combination or the transaction which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85"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 thirds of the outstanding voting stock which is not owned by the interested stockholder.</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attempts that might result in a premium over the market price for the shares of common stock held by stockholders.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While the Delaware Supreme Court recently determined that such choice of forum provisions are facially valid, a stockholder may nevertheless seek to bring such a claim arising under the Securities Act against us, our directors, officers, employees or agents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and may indemnify our employees and other agents, to the fullest extent permitted by Delaware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law prohibits our amended and restated certificate of incorporation from limiting the liability of our directors for the following:</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00"/>
          </w:cols>
          <w:pgMar w:left="320" w:top="1440" w:right="379" w:bottom="1440" w:gutter="0" w:footer="0" w:header="0"/>
        </w:sectPr>
      </w:pPr>
    </w:p>
    <w:bookmarkStart w:id="19" w:name="page20"/>
    <w:bookmarkEnd w:id="19"/>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laws, such as the federal securities laws or other state or federal laws. Under our amended and restated bylaws, we can purchase insurance on behalf of any person whom we are required or permitted to indemnify.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34" w:lineRule="exact"/>
        <w:rPr>
          <w:sz w:val="20"/>
          <w:szCs w:val="20"/>
          <w:color w:val="auto"/>
        </w:rPr>
      </w:pPr>
    </w:p>
    <w:p>
      <w:pPr>
        <w:ind w:right="100" w:firstLine="42"/>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Equiniti Trust Company, LLP. Its address is 6201 15th Avenue, Brooklyn, NY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80"/>
          </w:cols>
          <w:pgMar w:left="320" w:top="1440" w:right="399" w:bottom="1440" w:gutter="0" w:footer="0" w:header="0"/>
        </w:sectPr>
      </w:pPr>
    </w:p>
    <w:bookmarkStart w:id="21" w:name="page22"/>
    <w:bookmarkEnd w:id="21"/>
    <w:p>
      <w:pPr>
        <w:spacing w:after="0" w:line="140" w:lineRule="exact"/>
        <w:rPr>
          <w:sz w:val="20"/>
          <w:szCs w:val="20"/>
          <w:color w:val="auto"/>
        </w:rPr>
      </w:pPr>
    </w:p>
    <w:p>
      <w:pPr>
        <w:ind w:left="328" w:right="140" w:hanging="328"/>
        <w:spacing w:after="0" w:line="261"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71"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07" w:lineRule="exact"/>
        <w:rPr>
          <w:rFonts w:ascii="Times New Roman" w:cs="Times New Roman" w:eastAsia="Times New Roman" w:hAnsi="Times New Roman"/>
          <w:sz w:val="18"/>
          <w:szCs w:val="18"/>
          <w:color w:val="auto"/>
        </w:rPr>
      </w:pPr>
    </w:p>
    <w:p>
      <w:pPr>
        <w:jc w:val="both"/>
        <w:ind w:left="328" w:right="240" w:hanging="328"/>
        <w:spacing w:after="0" w:line="266"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71"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107" w:lineRule="exact"/>
        <w:rPr>
          <w:rFonts w:ascii="Times New Roman" w:cs="Times New Roman" w:eastAsia="Times New Roman" w:hAnsi="Times New Roman"/>
          <w:sz w:val="18"/>
          <w:szCs w:val="18"/>
          <w:color w:val="auto"/>
        </w:rPr>
      </w:pPr>
    </w:p>
    <w:p>
      <w:pPr>
        <w:ind w:left="328" w:right="140" w:hanging="328"/>
        <w:spacing w:after="0" w:line="261"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5" w:lineRule="exact"/>
        <w:rPr>
          <w:rFonts w:ascii="Times New Roman" w:cs="Times New Roman" w:eastAsia="Times New Roman" w:hAnsi="Times New Roman"/>
          <w:sz w:val="18"/>
          <w:szCs w:val="18"/>
          <w:color w:val="auto"/>
        </w:rPr>
      </w:pPr>
    </w:p>
    <w:p>
      <w:pPr>
        <w:ind w:left="328" w:right="42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07" w:lineRule="exact"/>
        <w:rPr>
          <w:rFonts w:ascii="Times New Roman" w:cs="Times New Roman" w:eastAsia="Times New Roman" w:hAnsi="Times New Roman"/>
          <w:sz w:val="18"/>
          <w:szCs w:val="18"/>
          <w:color w:val="auto"/>
        </w:rPr>
      </w:pPr>
    </w:p>
    <w:p>
      <w:pPr>
        <w:ind w:left="328" w:right="50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0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71"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888"/>
          </w:cols>
          <w:pgMar w:left="652" w:top="1440" w:right="359" w:bottom="1440" w:gutter="0" w:footer="0" w:header="0"/>
        </w:sectPr>
      </w:pPr>
    </w:p>
    <w:bookmarkStart w:id="22" w:name="page23"/>
    <w:bookmarkEnd w:id="22"/>
    <w:p>
      <w:pPr>
        <w:spacing w:after="0" w:line="14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08" w:lineRule="exact"/>
        <w:rPr>
          <w:sz w:val="20"/>
          <w:szCs w:val="20"/>
          <w:color w:val="auto"/>
        </w:rPr>
      </w:pPr>
    </w:p>
    <w:p>
      <w:pPr>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25"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40" w:lineRule="exact"/>
        <w:rPr>
          <w:sz w:val="20"/>
          <w:szCs w:val="20"/>
          <w:color w:val="auto"/>
        </w:rPr>
      </w:pPr>
    </w:p>
    <w:p>
      <w:pPr>
        <w:ind w:left="660" w:right="260" w:hanging="328"/>
        <w:spacing w:after="0" w:line="289"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03"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71" w:lineRule="exact"/>
        <w:rPr>
          <w:rFonts w:ascii="Times New Roman" w:cs="Times New Roman" w:eastAsia="Times New Roman" w:hAnsi="Times New Roman"/>
          <w:sz w:val="18"/>
          <w:szCs w:val="18"/>
          <w:color w:val="auto"/>
        </w:rPr>
      </w:pPr>
    </w:p>
    <w:p>
      <w:pPr>
        <w:jc w:val="both"/>
        <w:ind w:left="660" w:right="6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3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71" w:lineRule="exact"/>
        <w:rPr>
          <w:sz w:val="20"/>
          <w:szCs w:val="20"/>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Delaware,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60"/>
          </w:cols>
          <w:pgMar w:left="320" w:top="1440" w:right="419" w:bottom="1440" w:gutter="0" w:footer="0" w:header="0"/>
        </w:sectPr>
      </w:pPr>
    </w:p>
    <w:bookmarkStart w:id="28" w:name="page29"/>
    <w:bookmarkEnd w:id="28"/>
    <w:p>
      <w:pPr>
        <w:spacing w:after="0" w:line="14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171" w:lineRule="exact"/>
        <w:rPr>
          <w:sz w:val="20"/>
          <w:szCs w:val="20"/>
          <w:color w:val="auto"/>
        </w:rPr>
      </w:pPr>
    </w:p>
    <w:p>
      <w:pPr>
        <w:ind w:left="660" w:right="6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29"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If we so indicate in the applicable prospectus supplement, holders of the warrants may surrender securities as all or part of the exercise price for warrants.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7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0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0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71" w:lineRule="exact"/>
        <w:rPr>
          <w:sz w:val="20"/>
          <w:szCs w:val="20"/>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171" w:lineRule="exact"/>
        <w:rPr>
          <w:sz w:val="20"/>
          <w:szCs w:val="20"/>
          <w:color w:val="auto"/>
        </w:rPr>
      </w:pPr>
    </w:p>
    <w:p>
      <w:pPr>
        <w:ind w:left="660" w:right="5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2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Quince Therapeutics, Inc. as of December 31, 2023 and 2022 and for the years then ended incorporated by reference in this prospectus and in the registration statement have been so incorporated in reliance on the reports of BDO USA, P.C., an independent registered public accounting firm, given on the authority of said firm as experts in auditing and accounting.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www.quincetx.com. Information contained on or accessible through our website is not a part of this prospectus and is not incorporated by reference herein,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001-39753):</w:t>
      </w:r>
    </w:p>
    <w:p>
      <w:pPr>
        <w:spacing w:after="0" w:line="13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24">
        <w:r>
          <w:rPr>
            <w:rFonts w:ascii="Times New Roman" w:cs="Times New Roman" w:eastAsia="Times New Roman" w:hAnsi="Times New Roman"/>
            <w:sz w:val="18"/>
            <w:szCs w:val="18"/>
            <w:u w:val="single" w:color="auto"/>
            <w:color w:val="0000FF"/>
          </w:rPr>
          <w:t>April 1,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25">
        <w:r>
          <w:rPr>
            <w:rFonts w:ascii="Times New Roman" w:cs="Times New Roman" w:eastAsia="Times New Roman" w:hAnsi="Times New Roman"/>
            <w:sz w:val="18"/>
            <w:szCs w:val="18"/>
            <w:u w:val="single" w:color="auto"/>
            <w:color w:val="0000FF"/>
          </w:rPr>
          <w:t>May 13,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June 30, 2024, filed with the SEC on </w:t>
      </w:r>
      <w:hyperlink r:id="rId26">
        <w:r>
          <w:rPr>
            <w:rFonts w:ascii="Times New Roman" w:cs="Times New Roman" w:eastAsia="Times New Roman" w:hAnsi="Times New Roman"/>
            <w:sz w:val="18"/>
            <w:szCs w:val="18"/>
            <w:u w:val="single" w:color="auto"/>
            <w:color w:val="0000FF"/>
          </w:rPr>
          <w:t>August 13,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September 30, 2024, filed with the SEC on </w:t>
      </w:r>
      <w:hyperlink r:id="rId27">
        <w:r>
          <w:rPr>
            <w:rFonts w:ascii="Times New Roman" w:cs="Times New Roman" w:eastAsia="Times New Roman" w:hAnsi="Times New Roman"/>
            <w:sz w:val="18"/>
            <w:szCs w:val="18"/>
            <w:u w:val="single" w:color="auto"/>
            <w:color w:val="0000FF"/>
          </w:rPr>
          <w:t>November 13,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2023, from our definitive proxy statement relating to our 2024 annual meeting of stockholders, filed with the SEC on </w:t>
      </w:r>
      <w:hyperlink r:id="rId28">
        <w:r>
          <w:rPr>
            <w:rFonts w:ascii="Times New Roman" w:cs="Times New Roman" w:eastAsia="Times New Roman" w:hAnsi="Times New Roman"/>
            <w:sz w:val="18"/>
            <w:szCs w:val="18"/>
            <w:u w:val="single" w:color="auto"/>
            <w:color w:val="0000FF"/>
          </w:rPr>
          <w:t>April 24, 2024</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Current Reports on Form 8-K or Form 8-K/A filed with the SEC on </w:t>
      </w:r>
      <w:hyperlink r:id="rId29">
        <w:r>
          <w:rPr>
            <w:rFonts w:ascii="Times New Roman" w:cs="Times New Roman" w:eastAsia="Times New Roman" w:hAnsi="Times New Roman"/>
            <w:sz w:val="18"/>
            <w:szCs w:val="18"/>
            <w:u w:val="single" w:color="auto"/>
            <w:color w:val="0000FF"/>
          </w:rPr>
          <w:t>January 3,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FF"/>
          </w:rPr>
          <w:t>January 5, 2024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FF"/>
          </w:rPr>
          <w:t>January 29, 2024</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February 15,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FF"/>
          </w:rPr>
          <w:t>June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4">
        <w:r>
          <w:rPr>
            <w:rFonts w:ascii="Times New Roman" w:cs="Times New Roman" w:eastAsia="Times New Roman" w:hAnsi="Times New Roman"/>
            <w:sz w:val="18"/>
            <w:szCs w:val="18"/>
            <w:u w:val="single" w:color="auto"/>
            <w:color w:val="0000FF"/>
          </w:rPr>
          <w:t>June 21,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35">
        <w:r>
          <w:rPr>
            <w:rFonts w:ascii="Times New Roman" w:cs="Times New Roman" w:eastAsia="Times New Roman" w:hAnsi="Times New Roman"/>
            <w:sz w:val="18"/>
            <w:szCs w:val="18"/>
            <w:u w:val="single" w:color="auto"/>
            <w:color w:val="0000FF"/>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07" w:lineRule="exact"/>
        <w:rPr>
          <w:rFonts w:ascii="Times New Roman" w:cs="Times New Roman" w:eastAsia="Times New Roman" w:hAnsi="Times New Roman"/>
          <w:sz w:val="18"/>
          <w:szCs w:val="18"/>
          <w:color w:val="0000FF"/>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a Registration Statement on Form 8-A filed with the SEC on </w:t>
      </w:r>
      <w:hyperlink r:id="rId36">
        <w:r>
          <w:rPr>
            <w:rFonts w:ascii="Times New Roman" w:cs="Times New Roman" w:eastAsia="Times New Roman" w:hAnsi="Times New Roman"/>
            <w:sz w:val="18"/>
            <w:szCs w:val="18"/>
            <w:u w:val="single" w:color="auto"/>
            <w:color w:val="0000FF"/>
          </w:rPr>
          <w:t>May 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the Exchange Act, including any amendments or reports filed for the purpose of updating such description, including </w:t>
      </w:r>
      <w:hyperlink r:id="rId37">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fiscal year ended December 31, 2020, filed with the SEC on March 1, 2021.</w:t>
      </w:r>
    </w:p>
    <w:p>
      <w:pPr>
        <w:spacing w:after="0" w:line="12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08" w:lineRule="exact"/>
        <w:rPr>
          <w:rFonts w:ascii="Times New Roman" w:cs="Times New Roman" w:eastAsia="Times New Roman" w:hAnsi="Times New Roman"/>
          <w:sz w:val="18"/>
          <w:szCs w:val="18"/>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can request a copy of these filings, at no cost, by writing or telephoning us at the following address or telephone number:</w:t>
      </w:r>
    </w:p>
    <w:p>
      <w:pPr>
        <w:sectPr>
          <w:pgSz w:w="11900" w:h="16838" w:orient="portrait"/>
          <w:cols w:equalWidth="0" w:num="1">
            <w:col w:w="10139"/>
          </w:cols>
          <w:pgMar w:left="320" w:top="1440" w:right="1440" w:bottom="1440" w:gutter="0" w:footer="0" w:header="0"/>
        </w:sectPr>
      </w:pPr>
    </w:p>
    <w:p>
      <w:pPr>
        <w:spacing w:after="0" w:line="1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Quince Therapeutics,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611 Gateway Boulevard, Suite 273</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5500" w:hanging="438"/>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910-5717</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S-31</w:t>
      </w:r>
    </w:p>
    <w:p>
      <w:pPr>
        <w:sectPr>
          <w:pgSz w:w="11900" w:h="16838" w:orient="portrait"/>
          <w:cols w:equalWidth="0" w:num="1">
            <w:col w:w="10139"/>
          </w:cols>
          <w:pgMar w:left="320" w:top="1440" w:right="1440" w:bottom="1440" w:gutter="0" w:footer="0" w:header="0"/>
          <w:type w:val="continuous"/>
        </w:sectPr>
      </w:pPr>
    </w:p>
    <w:bookmarkStart w:id="37" w:name="page38"/>
    <w:bookmarkEnd w:id="37"/>
    <w:p>
      <w:pPr>
        <w:ind w:right="8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We may not sell these securities or accept an offer to buy these securities until the registration statement filed with the Securities and Exchange Commission is effective. This preliminary prospectus is not an offer to sell these securities and it is not soliciting offers to buy these securities in any state where such offer or sale is not permitted.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December 18,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122555</wp:posOffset>
            </wp:positionV>
            <wp:extent cx="2880360" cy="1139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88036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Up to $75,000,000</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187325</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dated December 18, 2024, or the Sales Agreement, with Cantor Fitzgerald &amp; Co. and H.C. Wainwright &amp; Co., LLC, or the Agents, relating to the sale of shares of our common stock, par value $0.001 per share, offered by this prospectus. In accordance with the terms of the Sales Agreement, under this prospectus we may offer and sell up to $75.0 million of shares of our common stock, from time to time to or through the Agents.</w:t>
      </w:r>
    </w:p>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 On December 17, 2024, the closing sale price of our common stock on the Nasdaq Global Select Market was $1.84 per share.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by any method permitted by law that is deemed an “at the market offering” as defined in Rule 415(a)(4) promulgated under the Securities Act of 1933, as amended, or the Securities Act. The Agents are not required to sell any specific number or dollar amount of shares of our common stock. Each of the Agents will use commercially reasonable efforts, consistent with their normal sales and trading practices, to solicit offers to purchase the common stock under the terms and subject to the conditions set forth in the Sales Agreement. There is no arrangement for funds to be received in any escrow, trust or similar arrangement. The net proceeds from any sales under this prospectus will be used as described under the section entitled “Use of Proceeds.”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Agents will be entitled to compensation at a commission rate equal to 3.0% of the gross proceeds of shares sold under the Sales Agreement. In connection with the sale of our common stock on our behalf, each of the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and the Securities Exchange Act of 1934, as amended, or the Exchange Act. See “</w:t>
      </w:r>
      <w:r>
        <w:rPr>
          <w:rFonts w:ascii="Times New Roman" w:cs="Times New Roman" w:eastAsia="Times New Roman" w:hAnsi="Times New Roman"/>
          <w:sz w:val="18"/>
          <w:szCs w:val="18"/>
          <w:u w:val="single" w:color="auto"/>
          <w:color w:val="0000FF"/>
        </w:rPr>
        <w:t>Plan of Distribution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auto"/>
        </w:rPr>
        <w:t xml:space="preserve"> for additional information regarding the compensation to be paid to the Agents.</w:t>
      </w:r>
    </w:p>
    <w:p>
      <w:pPr>
        <w:spacing w:after="0" w:line="12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Please read the information contained in and incorporated by reference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3</w:t>
      </w:r>
      <w:r>
        <w:rPr>
          <w:rFonts w:ascii="Times New Roman" w:cs="Times New Roman" w:eastAsia="Times New Roman" w:hAnsi="Times New Roman"/>
          <w:sz w:val="18"/>
          <w:szCs w:val="18"/>
          <w:b w:val="1"/>
          <w:bCs w:val="1"/>
          <w:color w:val="auto"/>
        </w:rPr>
        <w:t xml:space="preserve"> of this prospectus, and under similar headings in the other documents that are filed after the date hereof and incorporated by reference into this prospectus.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1220"/>
          </w:cols>
          <w:pgMar w:left="320" w:top="927" w:right="359" w:bottom="1440" w:gutter="0" w:footer="0" w:header="0"/>
        </w:sectPr>
      </w:pP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Cantor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H.C. Wainwright &amp; Co.</w:t>
      </w:r>
    </w:p>
    <w:p>
      <w:pPr>
        <w:spacing w:after="0" w:line="211" w:lineRule="exact"/>
        <w:rPr>
          <w:sz w:val="20"/>
          <w:szCs w:val="20"/>
          <w:color w:val="auto"/>
        </w:rPr>
      </w:pPr>
    </w:p>
    <w:p>
      <w:pPr>
        <w:sectPr>
          <w:pgSz w:w="11900" w:h="16838" w:orient="portrait"/>
          <w:cols w:equalWidth="0" w:num="2">
            <w:col w:w="6120" w:space="720"/>
            <w:col w:w="4380"/>
          </w:cols>
          <w:pgMar w:left="320" w:top="927" w:right="359" w:bottom="1440" w:gutter="0" w:footer="0" w:header="0"/>
          <w:type w:val="continuous"/>
        </w:sectPr>
      </w:pPr>
    </w:p>
    <w:p>
      <w:pPr>
        <w:spacing w:after="0" w:line="1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2024.</w:t>
      </w:r>
    </w:p>
    <w:p>
      <w:pPr>
        <w:sectPr>
          <w:pgSz w:w="11900" w:h="16838" w:orient="portrait"/>
          <w:cols w:equalWidth="0" w:num="2">
            <w:col w:w="6240" w:space="720"/>
            <w:col w:w="4260"/>
          </w:cols>
          <w:pgMar w:left="320" w:top="927" w:right="359" w:bottom="1440" w:gutter="0" w:footer="0" w:header="0"/>
          <w:type w:val="continuous"/>
        </w:sectPr>
      </w:pPr>
    </w:p>
    <w:bookmarkStart w:id="38" w:name="page39"/>
    <w:bookmarkEnd w:id="3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4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940" w:type="dxa"/>
            <w:vAlign w:val="bottom"/>
            <w:vMerge w:val="restart"/>
          </w:tcPr>
          <w:p>
            <w:pPr>
              <w:spacing w:after="0"/>
              <w:rPr>
                <w:sz w:val="2"/>
                <w:szCs w:val="2"/>
                <w:color w:val="auto"/>
              </w:rPr>
            </w:pPr>
          </w:p>
        </w:tc>
        <w:tc>
          <w:tcPr>
            <w:tcW w:w="6540" w:type="dxa"/>
            <w:vAlign w:val="bottom"/>
            <w:gridSpan w:val="3"/>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54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tcBorders>
              <w:bottom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09"/>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PROSPECTUS SUMMARY</w:t>
            </w:r>
          </w:p>
        </w:tc>
        <w:tc>
          <w:tcPr>
            <w:tcW w:w="82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2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9"/>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DILUTION</w:t>
            </w:r>
          </w:p>
        </w:tc>
        <w:tc>
          <w:tcPr>
            <w:tcW w:w="878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9"/>
        </w:trPr>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780" w:type="dxa"/>
            <w:vAlign w:val="bottom"/>
            <w:tcBorders>
              <w:top w:val="single" w:sz="8" w:color="0000FF"/>
            </w:tcBorders>
            <w:gridSpan w:val="2"/>
          </w:tcPr>
          <w:p>
            <w:pPr>
              <w:spacing w:after="0"/>
              <w:rPr>
                <w:sz w:val="18"/>
                <w:szCs w:val="18"/>
                <w:color w:val="auto"/>
              </w:rPr>
            </w:pPr>
          </w:p>
        </w:tc>
        <w:tc>
          <w:tcPr>
            <w:tcW w:w="748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890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39" w:name="page40"/>
    <w:bookmarkEnd w:id="39"/>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part of a registration statement on Form S-3 that we have filed with the Securities and Exchange Commission, or SEC, utilizing a “shelf” registration process. Under the registration statement, we may, from time to time, sell any combination of the securities described in the registration statement. Under this prospectus, we may offer and sell shares of our common stock having an aggregate offering price of up to $75.0 million from time to time at prices and on terms to be determined by market conditions at the time of the offering.</w:t>
      </w:r>
    </w:p>
    <w:p>
      <w:pPr>
        <w:spacing w:after="0" w:line="12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stock that we are offering, we urge you to carefully read this prospectus and all of the information incorporated by reference in this prospectus,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and each of the Agents have not, authorized anyone to provide you with any information other than that contained or incorporated by reference in this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to “Quince,” “the Company,” “we,” “us,” or “our” in this prospectus refer to Quince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1440" w:right="37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13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this offering and selected information contained elsewhere in or incorporated by reference into this prospectus. This summary provides an overview of selected information and does not contain all of the information you should consider before deciding whether to invest in our common stock. Therefore, you should read the entire prospectus carefully (including the documents incorporated by reference in this prospectus), especially the “Risk Factors” section on page </w:t>
      </w:r>
      <w:r>
        <w:rPr>
          <w:rFonts w:ascii="Times New Roman" w:cs="Times New Roman" w:eastAsia="Times New Roman" w:hAnsi="Times New Roman"/>
          <w:sz w:val="18"/>
          <w:szCs w:val="18"/>
          <w:i w:val="1"/>
          <w:iCs w:val="1"/>
          <w:u w:val="single" w:color="auto"/>
          <w:color w:val="0000FF"/>
        </w:rPr>
        <w:t>3</w:t>
      </w:r>
      <w:r>
        <w:rPr>
          <w:rFonts w:ascii="Times New Roman" w:cs="Times New Roman" w:eastAsia="Times New Roman" w:hAnsi="Times New Roman"/>
          <w:sz w:val="18"/>
          <w:szCs w:val="18"/>
          <w:i w:val="1"/>
          <w:iCs w:val="1"/>
          <w:color w:val="auto"/>
        </w:rPr>
        <w:t xml:space="preserve"> and the documents incorporated by reference and our consolidated and condensed financial statements and the related notes incorporated by reference in this prospectus, before deciding to invest in our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a late-stage biotechnology company dedicated to harnessing the power of a patient’s own biology to deliver innovative therapies to those living with rare diseases.</w:t>
      </w:r>
    </w:p>
    <w:p>
      <w:pPr>
        <w:spacing w:after="0" w:line="10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proprietary Autologous Intracellular Drug Encapsulation (“AIDE”) technology platform is an innovative drug/device combination that uses an automated process designed to encapsulate a drug into the patient’s own red blood cells. Red blood cells have several characteristics that make them a potentially ideal vehicle for drug delivery, including potentially better tolerability, enhanced tissue distribution, reduced immunogenicity, and prolongation of circulating half-life. Our AIDE technology is designed to harness these benefits to allow for new and improved therapeutic options for patients living with high unmet medical needs. The AIDE technology platform is believed to confer several benefits over conventional therapies and can be applied to a broad range of small or large molecule drugs and biologics. Our Phase 3 lead asset, EryDex, leverages our AIDE technology to encapsulate Dexamethasone Sodium Phosphate (DSP) into a patient’s own red blood cells, and is targeted to treat a rare pediatric neurodegenerative disease, Ataxia-Telangiectasia.</w:t>
      </w:r>
    </w:p>
    <w:p>
      <w:pPr>
        <w:spacing w:after="0" w:line="1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By pioneering the delivery of a drug encapsulated in a patient’s own red blood cells, we seek to advance proprietary therapeutics that hold the potential to redefine the standard of care and meaningfully improve the quality of life for patients with rare disease.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8"/>
          <w:szCs w:val="18"/>
          <w:color w:val="auto"/>
        </w:rPr>
        <w:t>In connection with entering into the Sales Agreement with the Agents, we have terminated a certain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dated December 23, 2021with Jefferies LLC.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as Cortexyme, Inc. in Delaware on June 20, 2012. In August 2022, we changed our name to Quince Therapeutics, Inc. Our principal executive offices are located at 611 Gateway Blvd., Suite 273, South San Francisco, California 94080. Our telephone number at that location is (415) 910-5717. Our corporate website address is </w:t>
      </w:r>
      <w:r>
        <w:rPr>
          <w:rFonts w:ascii="Times New Roman" w:cs="Times New Roman" w:eastAsia="Times New Roman" w:hAnsi="Times New Roman"/>
          <w:sz w:val="18"/>
          <w:szCs w:val="18"/>
          <w:u w:val="single" w:color="auto"/>
          <w:color w:val="0000FF"/>
        </w:rPr>
        <w:t>www.quincetx.com</w:t>
      </w:r>
      <w:r>
        <w:rPr>
          <w:rFonts w:ascii="Times New Roman" w:cs="Times New Roman" w:eastAsia="Times New Roman" w:hAnsi="Times New Roman"/>
          <w:sz w:val="18"/>
          <w:szCs w:val="18"/>
          <w:color w:val="auto"/>
        </w:rPr>
        <w:t>. References to our website address do not constitute incorporation by reference of the information contained on the website, and the information contained on the website is not part of this document.</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“Quince”, and the Quince Therapeutics, Inc. logo and other trademarks or service marks of Quince appearing in this prospectus are the property of Quince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80"/>
          </w:cols>
          <w:pgMar w:left="1000" w:top="1440" w:right="101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56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36130" cy="725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2" w:lineRule="exact"/>
        <w:rPr>
          <w:sz w:val="20"/>
          <w:szCs w:val="20"/>
          <w:color w:val="auto"/>
        </w:rPr>
      </w:pPr>
    </w:p>
    <w:p>
      <w:pPr>
        <w:ind w:left="2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Shares of our common stock having an aggregate offering price of up to $75.0</w:t>
      </w:r>
    </w:p>
    <w:p>
      <w:pPr>
        <w:spacing w:after="0" w:line="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million.</w:t>
      </w:r>
    </w:p>
    <w:p>
      <w:pPr>
        <w:sectPr>
          <w:pgSz w:w="11900" w:h="16838" w:orient="portrait"/>
          <w:cols w:equalWidth="0" w:num="1">
            <w:col w:w="9840"/>
          </w:cols>
          <w:pgMar w:left="1000" w:top="1440" w:right="1059" w:bottom="1440" w:gutter="0" w:footer="0" w:header="0"/>
        </w:sectPr>
      </w:pPr>
    </w:p>
    <w:p>
      <w:pPr>
        <w:spacing w:after="0" w:line="6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Up to 84,037,535 shares, assuming the sale of $75.0 million of shares of our common stock in this offering at a public offering price of $1.84 per share, which was the closing price of our common stock on the Nasdaq Global Select Market on December 17, 2024. The actual number of shares issued in this offering will vary depending on how many shares of our common stock we choose to sell and the prices at which such sales occur.</w:t>
      </w:r>
    </w:p>
    <w:p>
      <w:pPr>
        <w:spacing w:after="0" w:line="48" w:lineRule="exact"/>
        <w:rPr>
          <w:sz w:val="20"/>
          <w:szCs w:val="20"/>
          <w:color w:val="auto"/>
        </w:rPr>
      </w:pPr>
    </w:p>
    <w:p>
      <w:pPr>
        <w:sectPr>
          <w:pgSz w:w="11900" w:h="16838" w:orient="portrait"/>
          <w:cols w:equalWidth="0" w:num="2">
            <w:col w:w="3540" w:space="180"/>
            <w:col w:w="6120"/>
          </w:cols>
          <w:pgMar w:left="1000" w:top="1440" w:right="10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65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or to, at our</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6520" w:type="dxa"/>
            <w:vAlign w:val="bottom"/>
            <w:gridSpan w:val="11"/>
          </w:tcPr>
          <w:p>
            <w:pPr>
              <w:ind w:left="420"/>
              <w:spacing w:after="0" w:line="194" w:lineRule="exact"/>
              <w:rPr>
                <w:sz w:val="20"/>
                <w:szCs w:val="20"/>
                <w:color w:val="auto"/>
              </w:rPr>
            </w:pPr>
            <w:r>
              <w:rPr>
                <w:rFonts w:ascii="Times New Roman" w:cs="Times New Roman" w:eastAsia="Times New Roman" w:hAnsi="Times New Roman"/>
                <w:sz w:val="18"/>
                <w:szCs w:val="18"/>
                <w:color w:val="auto"/>
              </w:rPr>
              <w:t>option, either of the Agents. See “</w:t>
            </w:r>
            <w:r>
              <w:rPr>
                <w:rFonts w:ascii="Times New Roman" w:cs="Times New Roman" w:eastAsia="Times New Roman" w:hAnsi="Times New Roman"/>
                <w:sz w:val="18"/>
                <w:szCs w:val="18"/>
                <w:color w:val="0000FF"/>
              </w:rPr>
              <w:t>Plan of Distribution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color w:val="auto"/>
              </w:rPr>
              <w:t xml:space="preserve"> of this</w:t>
            </w:r>
          </w:p>
        </w:tc>
        <w:tc>
          <w:tcPr>
            <w:tcW w:w="0" w:type="dxa"/>
            <w:vAlign w:val="bottom"/>
          </w:tcPr>
          <w:p>
            <w:pPr>
              <w:spacing w:after="0"/>
              <w:rPr>
                <w:sz w:val="1"/>
                <w:szCs w:val="1"/>
                <w:color w:val="auto"/>
              </w:rPr>
            </w:pPr>
          </w:p>
        </w:tc>
      </w:tr>
      <w:tr>
        <w:trPr>
          <w:trHeight w:val="21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6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prospectus.</w:t>
            </w:r>
          </w:p>
        </w:tc>
        <w:tc>
          <w:tcPr>
            <w:tcW w:w="34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80" w:type="dxa"/>
            <w:vAlign w:val="bottom"/>
            <w:vMerge w:val="continue"/>
          </w:tcPr>
          <w:p>
            <w:pPr>
              <w:spacing w:after="0"/>
              <w:rPr>
                <w:sz w:val="19"/>
                <w:szCs w:val="19"/>
                <w:color w:val="auto"/>
              </w:rPr>
            </w:pPr>
          </w:p>
        </w:tc>
        <w:tc>
          <w:tcPr>
            <w:tcW w:w="65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w w:val="99"/>
              </w:rPr>
              <w:t>We currently intend to use the net proceeds that we receive from this offering, if any,</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6520" w:type="dxa"/>
            <w:vAlign w:val="bottom"/>
            <w:gridSpan w:val="11"/>
          </w:tcPr>
          <w:p>
            <w:pPr>
              <w:ind w:left="420"/>
              <w:spacing w:after="0" w:line="189" w:lineRule="exact"/>
              <w:rPr>
                <w:sz w:val="20"/>
                <w:szCs w:val="20"/>
                <w:color w:val="auto"/>
              </w:rPr>
            </w:pPr>
            <w:r>
              <w:rPr>
                <w:rFonts w:ascii="Times New Roman" w:cs="Times New Roman" w:eastAsia="Times New Roman" w:hAnsi="Times New Roman"/>
                <w:sz w:val="18"/>
                <w:szCs w:val="18"/>
                <w:color w:val="auto"/>
              </w:rPr>
              <w:t>for working capital and general corporate purposes.</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6520" w:type="dxa"/>
            <w:vAlign w:val="bottom"/>
            <w:gridSpan w:val="11"/>
          </w:tcPr>
          <w:p>
            <w:pPr>
              <w:ind w:left="420"/>
              <w:spacing w:after="0" w:line="194" w:lineRule="exact"/>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color w:val="0000FF"/>
              </w:rPr>
              <w:t>Use of Proceeds</w:t>
            </w:r>
            <w:r>
              <w:rPr>
                <w:rFonts w:ascii="Times New Roman" w:cs="Times New Roman" w:eastAsia="Times New Roman" w:hAnsi="Times New Roman"/>
                <w:sz w:val="18"/>
                <w:szCs w:val="18"/>
                <w:color w:val="auto"/>
              </w:rPr>
              <w:t>” for a more complete description of the</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Pr>
          <w:p>
            <w:pPr>
              <w:spacing w:after="0"/>
              <w:rPr>
                <w:sz w:val="20"/>
                <w:szCs w:val="20"/>
                <w:color w:val="auto"/>
              </w:rPr>
            </w:pPr>
          </w:p>
        </w:tc>
        <w:tc>
          <w:tcPr>
            <w:tcW w:w="65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intended use of proceeds from this offering.</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5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color w:val="auto"/>
              </w:rPr>
              <w:t xml:space="preserve"> and other information included and incorporated by</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700" w:type="dxa"/>
            <w:vAlign w:val="bottom"/>
            <w:gridSpan w:val="2"/>
          </w:tcPr>
          <w:p>
            <w:pPr>
              <w:ind w:left="420"/>
              <w:spacing w:after="0" w:line="156" w:lineRule="exact"/>
              <w:rPr>
                <w:sz w:val="20"/>
                <w:szCs w:val="20"/>
                <w:color w:val="auto"/>
              </w:rPr>
            </w:pPr>
            <w:r>
              <w:rPr>
                <w:rFonts w:ascii="Times New Roman" w:cs="Times New Roman" w:eastAsia="Times New Roman" w:hAnsi="Times New Roman"/>
                <w:sz w:val="18"/>
                <w:szCs w:val="18"/>
                <w:color w:val="auto"/>
              </w:rPr>
              <w:t>reference in this</w:t>
            </w:r>
          </w:p>
        </w:tc>
        <w:tc>
          <w:tcPr>
            <w:tcW w:w="482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auto"/>
              </w:rPr>
              <w:t>prospectus for a discussion of factors that you should carefully</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65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consider before deciding to invest in our common stock.</w:t>
            </w:r>
          </w:p>
        </w:tc>
        <w:tc>
          <w:tcPr>
            <w:tcW w:w="0" w:type="dxa"/>
            <w:vAlign w:val="bottom"/>
          </w:tcPr>
          <w:p>
            <w:pPr>
              <w:spacing w:after="0"/>
              <w:rPr>
                <w:sz w:val="1"/>
                <w:szCs w:val="1"/>
                <w:color w:val="auto"/>
              </w:rPr>
            </w:pPr>
          </w:p>
        </w:tc>
      </w:tr>
      <w:tr>
        <w:trPr>
          <w:trHeight w:val="27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65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“QNCX”</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43,276,606 shares of common stock outstanding as of September 30, 2024, and excludes:</w:t>
      </w:r>
    </w:p>
    <w:p>
      <w:pPr>
        <w:spacing w:after="0" w:line="108" w:lineRule="exact"/>
        <w:rPr>
          <w:sz w:val="20"/>
          <w:szCs w:val="20"/>
          <w:color w:val="auto"/>
        </w:rPr>
      </w:pPr>
    </w:p>
    <w:p>
      <w:pPr>
        <w:ind w:left="640" w:right="440" w:hanging="322"/>
        <w:spacing w:after="0" w:line="312"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7,548,506 shares of common stock issuable upon the exercise of outstanding stock options granted under our 2019 Equity Incentive Plan (“2019 Plan”) as of September 30, 2024, with a weighted-average exercise price of $3.12 per share;</w:t>
      </w:r>
    </w:p>
    <w:p>
      <w:pPr>
        <w:spacing w:after="0" w:line="85" w:lineRule="exact"/>
        <w:rPr>
          <w:rFonts w:ascii="Times New Roman" w:cs="Times New Roman" w:eastAsia="Times New Roman" w:hAnsi="Times New Roman"/>
          <w:sz w:val="17"/>
          <w:szCs w:val="17"/>
          <w:color w:val="auto"/>
        </w:rPr>
      </w:pPr>
    </w:p>
    <w:p>
      <w:pPr>
        <w:ind w:left="640" w:right="6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2,333,306 shares of common stock issuable upon the exercise of outstanding stock options granted under our 2022 Inducement Plan as of September 30, 2024, with a weighted-average exercise price of $2.98 per share;</w:t>
      </w:r>
    </w:p>
    <w:p>
      <w:pPr>
        <w:spacing w:after="0" w:line="107" w:lineRule="exact"/>
        <w:rPr>
          <w:rFonts w:ascii="Times New Roman" w:cs="Times New Roman" w:eastAsia="Times New Roman" w:hAnsi="Times New Roman"/>
          <w:sz w:val="18"/>
          <w:szCs w:val="18"/>
          <w:color w:val="auto"/>
        </w:rPr>
      </w:pPr>
    </w:p>
    <w:p>
      <w:pPr>
        <w:ind w:left="640" w:right="38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163,839 shares of common stock issuable upon the exercise of outstanding stock options granted under the 2019 Novosteo Equity Incentive Plan as of September 30, 2024, with a weighted-average exercise price of $0.55 per share;</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2,288,074 shares reserved for future issuance under our 2019 Plan as of September 30, 2024, as well as any automatic increases in the number of shares of common stock reserved for future issuance under this plan;</w:t>
      </w:r>
    </w:p>
    <w:p>
      <w:pPr>
        <w:spacing w:after="0" w:line="107" w:lineRule="exact"/>
        <w:rPr>
          <w:rFonts w:ascii="Times New Roman" w:cs="Times New Roman" w:eastAsia="Times New Roman" w:hAnsi="Times New Roman"/>
          <w:sz w:val="18"/>
          <w:szCs w:val="18"/>
          <w:color w:val="auto"/>
        </w:rPr>
      </w:pPr>
    </w:p>
    <w:p>
      <w:pPr>
        <w:ind w:left="640" w:right="20" w:hanging="322"/>
        <w:spacing w:after="0" w:line="26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1,924,262 shares of common stock reserved for future issuance under our 2019 Employee Stock Purchase Plan as of September 30, 2024, as well as any automatic increases in the number of shares of common stock reserved for future issuance under this plan; and</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1,666,694 shares reserved for future issuance under our 2022 Inducement Plan as of September 30, 2024.</w:t>
      </w:r>
    </w:p>
    <w:p>
      <w:pPr>
        <w:spacing w:after="0" w:line="17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Subsequent to September 30, 2024, we have issued 725,037 shares of common stock to EryDel shareholders pursuant to a certain purchase agreement entered in connection with EryDel acquisition. All of the information in this prospectus assumes no exercise of outstanding stock options or vesting of restricted stock units.</w:t>
      </w:r>
    </w:p>
    <w:p>
      <w:pPr>
        <w:sectPr>
          <w:pgSz w:w="11900" w:h="16838" w:orient="portrait"/>
          <w:cols w:equalWidth="0" w:num="1">
            <w:col w:w="9840"/>
          </w:cols>
          <w:pgMar w:left="1000" w:top="144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40"/>
          </w:cols>
          <w:pgMar w:left="1000" w:top="1440" w:right="1059" w:bottom="1440" w:gutter="0" w:footer="0" w:header="0"/>
          <w:type w:val="continuous"/>
        </w:sectPr>
      </w:pPr>
    </w:p>
    <w:bookmarkStart w:id="42" w:name="page43"/>
    <w:bookmarkEnd w:id="4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You should consider carefully the risks described below and discussed in the section titled “Risk Factors” contained in our most recent Annual Report on Form 10-K and subsequent Quarterly Reports on Form 10-Q, as filed with the SEC, which are incorporated by reference in this prospectus in their entirety, and in our subsequent filings with the SEC incorporated by reference in this prospectus,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financial condition, results of operations or cash flow could be harmed. This could cause the trading price of our common stock to decline and you may lose all or part of your investment. The risks below and incorporated by reference in this prospectus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for working capital and general corporate purposes, which may include, research and development activities, general and administrative matters, and capital expenditures. 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See the section titled “Use of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may experience immediate and substantial dilution in the tangible net book value of their investment.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offering price per share in this offering may exceed the net tangible book value per share of our common stock. Assuming that an aggregate of 35,714,286 shares of our common stock are sold at a price of $2.10 per share pursuant to this prospectus, which was the last reported sale price of our common stock on the Nasdaq Global Select Market on December 6, 2024, for aggregate gross proceeds of $75.0 million, you would experience immediate dilution of $1.43 per share, representing a difference between our net tangible book deficit per share as of September 30, 2024, after giving effect to this offering and the assumed offering price. To the extent that any options are exercised, any restricted stock units vest and are settled, any shares are purchased under our Employee Stock Purchase Plan, any new equity awards are issued under our equity incentive plan, or we otherwise issue additional shares of common stock in the future (including shares issued in connection with strategic and other transactions),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See the section titled “Dilution” on page </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auto"/>
        </w:rPr>
        <w:t xml:space="preserve"> of this prospectus for a more detailed illustration of the dilution you would incur if you participate in this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significant number of our shares of common stock in the public markets, or the perception that such sales could occur, could depress the market price of our shares of common stock or cause it to be highly volatile.</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or the perception that such sales could occur, could depress the market price of shares of our common stock or cause it to be highly volatile and impair our ability to raise capital through the sale of additional equity securities. A substantial number of shares of common stock are being offered by this prospectus, and we cannot predict if and when shares sold in this offering, if any, will be resold in the public markets. We cannot predict the number of these shares that might be resold nor the effect that future sales of our shares of common stock would have on the market price of shares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gross proceeds resulting from those sales.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laws, we have the discretion to deliver a placement notice to an Agent at any time throughout the term of the Sales Agreement. The number of shares that are sold through the Agents after delivering a placement notice will fluctuate based on a number of factors, including the market price of our common stock during the term of the Sales Agreement, the limits we set with the Agents in any applicable placement notice, and the demand for our common stock during the term of the Sales Agreement. Because the price per share of each share sold will fluctuate during the term of the Sales Agreement, it is not currently possible to predict the number of shares that will be sold or the gross proceeds to be raised in connection with the sales of shares of common stock offered under this prospectus.</w:t>
      </w:r>
    </w:p>
    <w:p>
      <w:pPr>
        <w:spacing w:after="0" w:line="12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3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current strategic direction;</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research and development activities, including the scope, success, cost and timing of any future development activities, preclinical studies and clinical trials, including clinical trials of EryDex or other pipeline compounds we advance through the drug development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any potential future clinical trials, and the reporting of data from those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timing of seeking and obtaining FDA and any other regulatory approvals for our drug candidates;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or other regulatory authorities to accept any future completed or planned clinical and preclinical studies and other work, as the basis for review and approval of our drug candidates for their respective indications;</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regulatory authorities determine that additional trials or data are necessary in order to accept a new drug application for review and/or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future clinical trials to demonstrate safety and efficacy of our EryDex and other drug candidates, and other positive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 and maintain compliance with associated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drug candidates;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drug candidates, if approved for commercial use, and the potential market opportunities for commercializing our drug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drug candidates, if approved;</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drug candidates for which we obtain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clinical personnel, in light of recent management changes and reduction in force;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drug candidates, and for the manufacture of our drug candidates for preclinical studies and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integrity of our supply chain, including multiple single-source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suppliers for certain of our raw materials and components;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drug candidates into additional indications and patient populations;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and efficacy of our drug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information requests, clinical holds, and regulatory developments in the United States and other jurisdictions;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drug candidates, and any related restrictions, limitations and/or warnings in the label of any approved drug candidate;</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CE Certificates of conformity for the medical device components of our EryDex System in accordance with applicable legislation governing medical devices;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CE Certifications under the previous Medical Device Directive, to a regulatory framework under MDR;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organization and increase the size of our facilities to meet our anticipated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Nasdaq listing requirements;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the sale of shares of common stock under this prospectus, if any.</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in this prospectus,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document containing the applicable statement. Unless required by law, we undertake no obligation to update or revise any forward-looking statements to reflect new information or future events or developments. You should read this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an aggregate offering price of up to $75.0 million from time to time. Because there is no minimum offering amount required as a condition to close this offering, the actual total public offering amount, commissions and proceeds to us, if any, are not determinable at this time. There can be no assurance that, in the future, we will sell any shares under or fully utilize the Sales Agreement with the Agents as a source of financing.</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if any, for working capital and general corporate purposes, including research and development expenses, general and administrative expenses and capital expenditures.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amounts and timing of the expenditures may vary significantly, depending upon numerous factors, including our proprietary research and development programs and our clinical trials as well as the amount of cash used in our operations. Accordingly, our management will have broad discretion in the application of the net proceeds and may find it necessary or advisable to use the net proceeds for other purposes. Investors will be relying upon the judgment of our management regarding the application of these proceeds. We reserve the right to change the use of these proceeds.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these uses, we intend to invest the proceeds of this offering in short- and intermediate-term,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ownership interest will be diluted to the extent of the difference between the public offering price per share and the as adjusted net tangible book value (deficit) per share of our common stock after this offering.</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net tangible book deficit as of September 30, 2024, was $(19.6) million, or $(0.45) per share. Net tangible book value (deficit) is total tangible assets less our total liabilities divided by the number of outstanding shares of common stock prior to the completion of this offering.</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After giving effect to the assumed sale by us of shares of our common stock having an aggregate offering price of $75.0 million at an assumed public offering price of $2.10 per share of common stock, which was the last reported sale price of our common stock on the Nasdaq Global Select Market on December 6, 2024, and after deducting estimated commissions and estimated offering expenses payable by us, our as adjusted net tangible book value as of September 30, 2024 would have been $52.6 million, or $0.67 per share of common stock. This represents an immediate decrease in net tangible book deficit per share of common stock of $1.12 to existing stockholders and immediate dilution of $1.43 in net tangible book value (deficit) per share of common stock to new investors purchasing common stock in this offering. The following table illustrates this dilution per share to investors participating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 of common stock</w:t>
            </w:r>
          </w:p>
        </w:tc>
        <w:tc>
          <w:tcPr>
            <w:tcW w:w="10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(deficit) per share of common stock at September 30, 2024</w:t>
            </w: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net tangible book deficit per share of common stock attributable to new investors</w:t>
            </w:r>
          </w:p>
        </w:tc>
        <w:tc>
          <w:tcPr>
            <w:tcW w:w="10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of common stock after giving effect to this offering</w:t>
            </w:r>
          </w:p>
        </w:tc>
        <w:tc>
          <w:tcPr>
            <w:tcW w:w="108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purchasing shares of common stock in this offering</w:t>
            </w:r>
          </w:p>
        </w:tc>
        <w:tc>
          <w:tcPr>
            <w:tcW w:w="10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Assuming all of the common stock in an aggregate amount of $75.0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is sold in this offering at the assumed public offering price of $2.10 per share, a $0.50 increase in such offering price would increase our as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tangible book value (or decrease as adjusted net tangible book deficit) per share after this offering to $0.73 per share and the dilution to new investors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 per share, after deducting commissions and estimated offering expenses payable by us. A $0.50 decrease in the assumed public offering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per share would decrease our as adjusted net tangible book value per share after this offering to $0.59 per share and the dilution to new investors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per share, after deducting commissions and estimated offering expenses payable by us. The information discussed above is illustrative only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based on the actual public offering price, the actual number of shares that we offer in this offering, and other terms of this offering determined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each offer and sale.</w:t>
      </w:r>
    </w:p>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43,276,606 shares of common stock outstanding as of September 30, 2024, excluding:</w:t>
      </w:r>
    </w:p>
    <w:p>
      <w:pPr>
        <w:spacing w:after="0" w:line="108" w:lineRule="exact"/>
        <w:rPr>
          <w:sz w:val="20"/>
          <w:szCs w:val="20"/>
          <w:color w:val="auto"/>
        </w:rPr>
      </w:pPr>
    </w:p>
    <w:p>
      <w:pPr>
        <w:ind w:left="660" w:right="2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7,548,506 shares of common stock issuable upon the exercise of outstanding stock options granted under our 2019 Equity Incentive Plan (“2019 Plan”) as of September 30, 2024, with a weighted-average exercise price of $3.12 per share;</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2,333,306 shares of common stock issuable upon the exercise of outstanding stock options granted under our 2022 Inducement Plan as of September 30, 2024, with a weighted-average exercise price of $2.98 per share;</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163,839 shares of common stock issuable upon the exercise of outstanding stock options granted under the 2019 Novosteo Equity Incentive Plan as of September 30, 2024, with a weighted-average exercise price of $0.55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2,288,074 shares of common stock reserved for future issuance under our 2019 Plan as of September 30, 2024, as well as any automatic increases in the number of shares of common stock reserved for future issuance under this plan;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1,924,262 shares of common stock reserved for future issuance under our 2019 Employee Stock Purchase Plan as of September 30, 2024, as well as any automatic increases in the number of shares of common stock reserved for future issuance under this plan;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1,666,694 shares of common stock reserved for future issuance under our 2022 Inducement Plan as of September 30, 2024.</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Subsequent to September 30, 2024, we have issued 725,037 shares of common stock to EryDel shareholders pursuant to a certain purchase agreement entered in connection with EryDel acquisition. To the extent that stock options, are exercised, restricted stock units, units vest, new stock options, or restricted stock units are issued under our equity incentive plans, or we issue additional shares of common stock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1440" w:right="439" w:bottom="1440" w:gutter="0" w:footer="0" w:header="0"/>
        </w:sectPr>
      </w:pPr>
    </w:p>
    <w:bookmarkStart w:id="50" w:name="page51"/>
    <w:bookmarkEnd w:id="5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summary description of our capital stock is based on the provisions of our amended and restated certificate of incorporation, or the Certificate of Incorporation, and amended and restated bylaws, or the Bylaws, and the applicable provisions of the Delaware General Corporation Law, or the DGCL. This information is qualified entirely by reference to the applicable provisions of our Certificate of Incorporation and Bylaws. For information on how to obtain copies of our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have authority to issue 100,000,000 shares of our common stock, par value $0.001 per share, and we have authority, subject to any limitations prescribed by law and without further stockholder approval, to issue from time to time up to 10,000,000 shares of preferred stock, par value $0.001 per share, in one or more series.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the stockholders. Cumulative voting for the election of directors is not provided for in our restated certificate of incorporation, which means the holders of a majority of our shares of common stock can elect all of the directors then standing for election.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dividends, if any, as may be declared from time to time by the board of directors out of legally available funds.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The issuance of redeemable convertible preferred stock with voting and conversion rights may also adversely affect the voting power of the holders of common stock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likelihood that such holders will receive dividend payments and payments upon liquidation. In certain circumstances, an issuance of preferred stock could have the effect of decreasing the market price of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Amended and Restated Certificate of Incorporation and Amended and Restated Bylaws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discussed above, our board of directors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Ability of Stockholders to Act by Written Consent or Call a Special Meeting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 In addition, our amended and restated bylaws provides that special meetings of the stockholders may be called only by the chairperson of the board, the Chief Executive Officer, the lead independent director, or at the request of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Classification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one class of which is elected each year by our stockholders. The directors in each class will serve three-year terms. A third party may be discouraged from making a tender offer or otherwise attempting to obtain control of us as it is more difficult and time-consuming for stockholders to replace a majority of the directors on a classified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75" w:lineRule="exact"/>
        <w:rPr>
          <w:sz w:val="20"/>
          <w:szCs w:val="20"/>
          <w:color w:val="auto"/>
        </w:rPr>
      </w:pPr>
    </w:p>
    <w:p>
      <w:pPr>
        <w:ind w:right="12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do not permit cumulative voting in the election of directors. Cumulative voting allows a stockholder to vote a portion or all of its shares for one or more candidates for seats on the board of</w:t>
      </w: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and Bylaws Provisions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amendment of the above provisions of our amended and restated certificate of incorporation will require approval by holders of at least two thirds of our outstanding capital stock entitled to vote generally in the election of directors. The amendment of our amended and restated bylaws will require approval by the holders of at least two thirds of our outstanding capital stock entitled to vote generally in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22" w:lineRule="exact"/>
        <w:rPr>
          <w:sz w:val="20"/>
          <w:szCs w:val="20"/>
          <w:color w:val="auto"/>
        </w:rPr>
      </w:pPr>
    </w:p>
    <w:p>
      <w:pPr>
        <w:ind w:left="660" w:right="6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our board of directors approved either the business combination or the transaction which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85"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 thirds of the outstanding voting stock which is not owned by the interested stockholder.</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attempts that might result in a premium over the market price for the shares of common stock held by stockholders.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While the Delaware Supreme Court recently determined that such choice of forum provisions are facially valid, a stockholder may nevertheless seek to bring such a claim arising under the Securities Act against us, our directors, officers, employees or agents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and may indemnify our employees and other agents, to the fullest extent permitted by Delaware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law prohibits our amended and restated certificate of incorporation from limiting the liability of our directors for the following:</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laws, such as the federal securities laws or other state or federal laws. Under our amended and restated bylaws, we can purchase insurance on behalf of any person whom we are required or permitted to indemnify.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34" w:lineRule="exact"/>
        <w:rPr>
          <w:sz w:val="20"/>
          <w:szCs w:val="20"/>
          <w:color w:val="auto"/>
        </w:rPr>
      </w:pPr>
    </w:p>
    <w:p>
      <w:pPr>
        <w:ind w:right="100" w:firstLine="42"/>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Equiniti Trust Company, LLP. Its address is 6201 15th Avenue, Brooklyn, NY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or the Sales Agreement, with the Agents. Pursuant to this prospectus, we may offer and sell shares of our common stock having an aggregate gross sales price of up to $75.0 million from time to time through or to the Agents acting as sales agent or principal. A copy of the Sales Agreement has been filed as an exhibit to our registration statement on Form S-3 of which this prospectus forms a part.</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delivery of a placement notice to an Agent and subject to the terms and conditions of the Sales Agreement, such Agent may sell shares of our common stock by any method permitted by law deemed to be an “at the market offering” as defined in Rule 415(a)(4) promulgated under the Securities Act. We may instruct the Agents not to sell common stock if the sales cannot be effected at or above the price designated by us from time to time. We or the Agents may suspend the offering of common stock upon notice and subject to other conditions.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pay the Agents’ commissions, in cash, for their services in acting as sales agents in the sale of our common stock. The aggregate compensation payable to each Agent will be equal to 3.0% of the aggregate gross proceeds from each sale of shares of common stock by such Agent pursuant to the Sales Agreement. We have also agreed to reimburse a portion of the Agents’ expenses, including the legal fees, in connection with this offering, and disbursements of its legal counsel, (a) in an amount not to exceed $75,000 in connection with the execution of the Sales Agreement, (b) in an amount not to exceed $25,000 per calendar quarter thereafter payable in connection with each representation date with respect to which we are obligated to deliver a certificate to the Agents pursuant to the Sales Agreement for which no waiver is applicable and excluding the date of the Sales Agreement, and (c) in an amount not to exceed $45,000 for each program “refresh” (filing of a new registration statement, prospectus or prospectus supplement relating to the shares of common stock to be sold pursuant to the Sales Agreement and/or an amendment of the Sales Agreement) executed pursuant to the Sales Agreement. In accordance with FINRA Rule 5110 these reimbursed fees and expenses are deemed sales compensation in connection with this offering. We estimate that the total expenses for the offering, excluding compensation and reimbursements, if any, payable to the Agents under the terms of the Sales Agreement, will be approximately $255,000. Because there is no minimum offering amount required as a condition to close this offering, the actual total public offering amount, commissions and proceeds to us, if any, are not determinable at this time.</w:t>
      </w:r>
    </w:p>
    <w:p>
      <w:pPr>
        <w:spacing w:after="0" w:line="1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Settlement for sales of shares of common stock will occur on the first trading day following the date on which any sales are made (or such earlier day as is industry practice for regular-way trading), or on some other date that is agreed upon by us and the applicable Agent in connection with a particular transaction, in return for payment of the net proceeds to us. Sales of our common stock as contemplated in this prospectus will be settled through the facilities of The Depository Trust Company or by such other means as we and the applicable Agent may agree upon. There is no arrangement for funds to be received in an escrow, trust or similar arrangement.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Agents will use their commercially reasonable efforts, consistent with their normal trading and sales practices, to solicit offers to purchase shares of our common stock under the terms and subject to the conditions set forth in the Sales Agreement. In connection with the sale of the shares of common stock on our behalf, each of the Agents will be deemed to be an “underwriter” within the meaning of the Securities Act, and the compensation of such Agent will be deemed to be underwriting commissions or discounts. We have also agreed to provide indemnification and contribution to each Agent against certain liabilities, including liabilities under the Securities Act and the Exchange Act.</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offering of shares of our common stock pursuant to the Sales Agreement will terminate upon the earlier of (1) the sales of all shares of our common stock subject to the Sales Agreement, or (2) the termination of the Sales Agreement as permitted therein. We and the Agents may each terminate the Sales Agreement at any time upon ten days’ prior notice.</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Cantor Fitzgerald &amp; Co. has provided various investment banking services to us. The Agents and their respective affiliates may in the future provide various investment banking, commercial banking and other financial services for us, our subsidiaries and our affiliates, for which services they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the Agents will not engage in any market-making activities involving our common stock while the offering is ongoing under this prospectus.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prospectus in electronic format may be made available on a website maintained by either of the Agents, and each Agent may distribute this prospectus electronically.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“QNCX.”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common stock offered hereby. Duane Morris LLP, New York, New York, is representing the Agents in connection with the offering.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Quince Therapeutics, Inc. as of December 31, 2023 and 2022 and for the years then ended incorporated by reference in this prospectus and in the registration statement have been so incorporated in reliance on the reports of BDO USA, P.C., an independent registered public accounting firm, given on the authority of said firm as experts in auditing and accounting.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www.quincetx.com. Information contained on or accessible through our website is not a part of this prospectus and is not incorporated by reference herein,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001-39753):</w:t>
      </w:r>
    </w:p>
    <w:p>
      <w:pPr>
        <w:spacing w:after="0" w:line="13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24">
        <w:r>
          <w:rPr>
            <w:rFonts w:ascii="Times New Roman" w:cs="Times New Roman" w:eastAsia="Times New Roman" w:hAnsi="Times New Roman"/>
            <w:sz w:val="18"/>
            <w:szCs w:val="18"/>
            <w:u w:val="single" w:color="auto"/>
            <w:color w:val="0000FF"/>
          </w:rPr>
          <w:t>April 1,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25">
        <w:r>
          <w:rPr>
            <w:rFonts w:ascii="Times New Roman" w:cs="Times New Roman" w:eastAsia="Times New Roman" w:hAnsi="Times New Roman"/>
            <w:sz w:val="18"/>
            <w:szCs w:val="18"/>
            <w:u w:val="single" w:color="auto"/>
            <w:color w:val="0000FF"/>
          </w:rPr>
          <w:t>May 13,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June 30, 2024, filed with the SEC on </w:t>
      </w:r>
      <w:hyperlink r:id="rId26">
        <w:r>
          <w:rPr>
            <w:rFonts w:ascii="Times New Roman" w:cs="Times New Roman" w:eastAsia="Times New Roman" w:hAnsi="Times New Roman"/>
            <w:sz w:val="18"/>
            <w:szCs w:val="18"/>
            <w:u w:val="single" w:color="auto"/>
            <w:color w:val="0000FF"/>
          </w:rPr>
          <w:t>August 13,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September 30, 2024, filed with the SEC on </w:t>
      </w:r>
      <w:hyperlink r:id="rId27">
        <w:r>
          <w:rPr>
            <w:rFonts w:ascii="Times New Roman" w:cs="Times New Roman" w:eastAsia="Times New Roman" w:hAnsi="Times New Roman"/>
            <w:sz w:val="18"/>
            <w:szCs w:val="18"/>
            <w:u w:val="single" w:color="auto"/>
            <w:color w:val="0000FF"/>
          </w:rPr>
          <w:t>November 13,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2023, from our definitive proxy statement relating to our 2024 annual meeting of stockholders, filed with the SEC on </w:t>
      </w:r>
      <w:hyperlink r:id="rId28">
        <w:r>
          <w:rPr>
            <w:rFonts w:ascii="Times New Roman" w:cs="Times New Roman" w:eastAsia="Times New Roman" w:hAnsi="Times New Roman"/>
            <w:sz w:val="18"/>
            <w:szCs w:val="18"/>
            <w:u w:val="single" w:color="auto"/>
            <w:color w:val="0000FF"/>
          </w:rPr>
          <w:t>April 24, 2024</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4"/>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Current Reports on Form 8-K or Form 8-K/A filed with the SEC on </w:t>
      </w:r>
      <w:hyperlink r:id="rId29">
        <w:r>
          <w:rPr>
            <w:rFonts w:ascii="Times New Roman" w:cs="Times New Roman" w:eastAsia="Times New Roman" w:hAnsi="Times New Roman"/>
            <w:sz w:val="18"/>
            <w:szCs w:val="18"/>
            <w:u w:val="single" w:color="auto"/>
            <w:color w:val="0000FF"/>
          </w:rPr>
          <w:t>January 3,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FF"/>
          </w:rPr>
          <w:t>January 5, 2024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FF"/>
          </w:rPr>
          <w:t>January 29, 2024</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February 15,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FF"/>
          </w:rPr>
          <w:t>June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4">
        <w:r>
          <w:rPr>
            <w:rFonts w:ascii="Times New Roman" w:cs="Times New Roman" w:eastAsia="Times New Roman" w:hAnsi="Times New Roman"/>
            <w:sz w:val="18"/>
            <w:szCs w:val="18"/>
            <w:u w:val="single" w:color="auto"/>
            <w:color w:val="0000FF"/>
          </w:rPr>
          <w:t>June 21,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35">
        <w:r>
          <w:rPr>
            <w:rFonts w:ascii="Times New Roman" w:cs="Times New Roman" w:eastAsia="Times New Roman" w:hAnsi="Times New Roman"/>
            <w:sz w:val="18"/>
            <w:szCs w:val="18"/>
            <w:u w:val="single" w:color="auto"/>
            <w:color w:val="0000FF"/>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07" w:lineRule="exact"/>
        <w:rPr>
          <w:rFonts w:ascii="Times New Roman" w:cs="Times New Roman" w:eastAsia="Times New Roman" w:hAnsi="Times New Roman"/>
          <w:sz w:val="18"/>
          <w:szCs w:val="18"/>
          <w:color w:val="0000FF"/>
        </w:rPr>
      </w:pPr>
    </w:p>
    <w:p>
      <w:pPr>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a Registration Statement on Form 8-A filed with the SEC on </w:t>
      </w:r>
      <w:hyperlink r:id="rId36">
        <w:r>
          <w:rPr>
            <w:rFonts w:ascii="Times New Roman" w:cs="Times New Roman" w:eastAsia="Times New Roman" w:hAnsi="Times New Roman"/>
            <w:sz w:val="18"/>
            <w:szCs w:val="18"/>
            <w:u w:val="single" w:color="auto"/>
            <w:color w:val="0000FF"/>
          </w:rPr>
          <w:t>May 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the Exchange Act, including any amendments or reports filed for the purpose of updating such description, including </w:t>
      </w:r>
      <w:hyperlink r:id="rId37">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fiscal year ended December 31, 2020, filed with the SEC on March 1, 2021.</w:t>
      </w:r>
    </w:p>
    <w:p>
      <w:pPr>
        <w:spacing w:after="0" w:line="12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08" w:lineRule="exact"/>
        <w:rPr>
          <w:rFonts w:ascii="Times New Roman" w:cs="Times New Roman" w:eastAsia="Times New Roman" w:hAnsi="Times New Roman"/>
          <w:sz w:val="18"/>
          <w:szCs w:val="18"/>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3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17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Quince Therapeutics,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611 Gateway Boulevard, Suite 273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910-5717</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Up to $75,000,000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575310</wp:posOffset>
            </wp:positionV>
            <wp:extent cx="2880360" cy="1140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288036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461645</wp:posOffset>
            </wp:positionV>
            <wp:extent cx="1517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139700</wp:posOffset>
            </wp:positionV>
            <wp:extent cx="1517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800" w:val="left"/>
        </w:tabs>
        <w:rPr>
          <w:sz w:val="20"/>
          <w:szCs w:val="20"/>
          <w:color w:val="auto"/>
        </w:rPr>
      </w:pPr>
      <w:r>
        <w:rPr>
          <w:rFonts w:ascii="Times New Roman" w:cs="Times New Roman" w:eastAsia="Times New Roman" w:hAnsi="Times New Roman"/>
          <w:sz w:val="42"/>
          <w:szCs w:val="42"/>
          <w:b w:val="1"/>
          <w:bCs w:val="1"/>
          <w:color w:val="auto"/>
        </w:rPr>
        <w:t>Cantor</w:t>
      </w:r>
      <w:r>
        <w:rPr>
          <w:sz w:val="20"/>
          <w:szCs w:val="20"/>
          <w:color w:val="auto"/>
        </w:rPr>
        <w:tab/>
      </w:r>
      <w:r>
        <w:rPr>
          <w:rFonts w:ascii="Times New Roman" w:cs="Times New Roman" w:eastAsia="Times New Roman" w:hAnsi="Times New Roman"/>
          <w:sz w:val="42"/>
          <w:szCs w:val="42"/>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0" w:name="page61"/>
    <w:bookmarkEnd w:id="60"/>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and the FINRA filing fee.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Nasdaq Global Select Market fee</w:t>
            </w:r>
          </w:p>
        </w:tc>
        <w:tc>
          <w:tcPr>
            <w:tcW w:w="3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and miscellaneous fees and expenses</w:t>
            </w:r>
          </w:p>
        </w:tc>
        <w:tc>
          <w:tcPr>
            <w:tcW w:w="3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61"/>
        </w:trPr>
        <w:tc>
          <w:tcPr>
            <w:tcW w:w="9660" w:type="dxa"/>
            <w:vAlign w:val="bottom"/>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20" w:hanging="332"/>
        <w:spacing w:after="0" w:line="278"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Our amended and restated bylaws provide for indemnification by the registrant of its directors, officers and employees to the fullest extent permitted by the Delaware General Corporation Law.</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amended and restated certificate of incorporation provides for such limitation of liability.</w:t>
      </w:r>
    </w:p>
    <w:p>
      <w:pPr>
        <w:spacing w:after="0" w:line="13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505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33655</wp:posOffset>
            </wp:positionV>
            <wp:extent cx="2726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Underwriting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Controlled Equity OfferingSM Sales Agreement, by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among the Company, Cantor Fitzgerald &amp; Co. and H.C.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Wainwright &amp; Co., LLC, dated as of December 18, 2024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20" w:type="dxa"/>
            <w:vAlign w:val="bottom"/>
            <w:tcBorders>
              <w:top w:val="single" w:sz="8" w:color="auto"/>
            </w:tcBorders>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380" w:type="dxa"/>
            <w:vAlign w:val="bottom"/>
            <w:tcBorders>
              <w:top w:val="single" w:sz="8" w:color="auto"/>
            </w:tcBorders>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SEC File</w:t>
            </w:r>
          </w:p>
        </w:tc>
        <w:tc>
          <w:tcPr>
            <w:tcW w:w="74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3"/>
                <w:szCs w:val="13"/>
                <w:color w:val="auto"/>
              </w:rPr>
            </w:pPr>
          </w:p>
        </w:tc>
        <w:tc>
          <w:tcPr>
            <w:tcW w:w="170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13335</wp:posOffset>
            </wp:positionV>
            <wp:extent cx="582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549" w:lineRule="exact"/>
        <w:rPr>
          <w:sz w:val="20"/>
          <w:szCs w:val="20"/>
          <w:color w:val="auto"/>
        </w:rPr>
      </w:pPr>
    </w:p>
    <w:p>
      <w:pPr>
        <w:sectPr>
          <w:pgSz w:w="11900" w:h="16838" w:orient="portrait"/>
          <w:cols w:equalWidth="0" w:num="4">
            <w:col w:w="540" w:space="380"/>
            <w:col w:w="4080" w:space="280"/>
            <w:col w:w="4940" w:space="280"/>
            <w:col w:w="700"/>
          </w:cols>
          <w:pgMar w:left="320" w:top="1440"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7"/>
              </w:rPr>
              <w:t>3.1</w:t>
            </w:r>
          </w:p>
        </w:tc>
        <w:tc>
          <w:tcPr>
            <w:tcW w:w="4240" w:type="dxa"/>
            <w:vAlign w:val="bottom"/>
            <w:gridSpan w:val="4"/>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7"/>
              </w:rPr>
              <w:t>3.2</w:t>
            </w:r>
          </w:p>
        </w:tc>
        <w:tc>
          <w:tcPr>
            <w:tcW w:w="2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42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Certificate of Amendment to the Registrant’s Certificate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240" w:type="dxa"/>
            <w:vAlign w:val="bottom"/>
            <w:gridSpan w:val="4"/>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Incorporation, effective August 1, 2022</w:t>
              </w:r>
            </w:hyperlink>
          </w:p>
        </w:tc>
        <w:tc>
          <w:tcPr>
            <w:tcW w:w="0" w:type="dxa"/>
            <w:vAlign w:val="bottom"/>
          </w:tcPr>
          <w:p>
            <w:pPr>
              <w:spacing w:after="0"/>
              <w:rPr>
                <w:sz w:val="1"/>
                <w:szCs w:val="1"/>
                <w:color w:val="auto"/>
              </w:rPr>
            </w:pPr>
          </w:p>
        </w:tc>
      </w:tr>
      <w:tr>
        <w:trPr>
          <w:trHeight w:val="290"/>
        </w:trPr>
        <w:tc>
          <w:tcPr>
            <w:tcW w:w="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7"/>
              </w:rPr>
              <w:t>3.3</w:t>
            </w:r>
          </w:p>
        </w:tc>
        <w:tc>
          <w:tcPr>
            <w:tcW w:w="22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Amended and Restated Bylaws</w:t>
              </w:r>
            </w:hyperlink>
          </w:p>
        </w:tc>
        <w:tc>
          <w:tcPr>
            <w:tcW w:w="580" w:type="dxa"/>
            <w:vAlign w:val="bottom"/>
            <w:tcBorders>
              <w:top w:val="single" w:sz="8" w:color="0000FF"/>
            </w:tcBorders>
          </w:tcPr>
          <w:p>
            <w:pPr>
              <w:spacing w:after="0"/>
              <w:rPr>
                <w:sz w:val="24"/>
                <w:szCs w:val="24"/>
                <w:color w:val="auto"/>
              </w:rPr>
            </w:pPr>
          </w:p>
        </w:tc>
        <w:tc>
          <w:tcPr>
            <w:tcW w:w="1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7"/>
              </w:rPr>
              <w:t>4.1</w:t>
            </w: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Reference is made to Exhibits 3.1, 3.2 and 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001-38890</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13, 2019</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001-38890</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August 01, 2022</w:t>
            </w:r>
          </w:p>
        </w:tc>
      </w:tr>
      <w:tr>
        <w:trPr>
          <w:trHeight w:val="28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001-38890</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5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August 01, 2022</w:t>
            </w:r>
          </w:p>
        </w:tc>
      </w:tr>
    </w:tbl>
    <w:p>
      <w:pPr>
        <w:spacing w:after="0" w:line="353" w:lineRule="exact"/>
        <w:rPr>
          <w:sz w:val="20"/>
          <w:szCs w:val="20"/>
          <w:color w:val="auto"/>
        </w:rPr>
      </w:pPr>
    </w:p>
    <w:p>
      <w:pPr>
        <w:sectPr>
          <w:pgSz w:w="11900" w:h="16838" w:orient="portrait"/>
          <w:cols w:equalWidth="0" w:num="2">
            <w:col w:w="5160" w:space="440"/>
            <w:col w:w="5600"/>
          </w:cols>
          <w:pgMar w:left="320" w:top="1440" w:right="37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9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Specimen Common Stock Certificate of the Registrant</w:t>
              </w:r>
            </w:hyperlink>
          </w:p>
        </w:tc>
        <w:tc>
          <w:tcPr>
            <w:tcW w:w="500" w:type="dxa"/>
            <w:vAlign w:val="bottom"/>
          </w:tcPr>
          <w:p>
            <w:pPr>
              <w:spacing w:after="0"/>
              <w:rPr>
                <w:sz w:val="19"/>
                <w:szCs w:val="19"/>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333-230853</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April 29, 2019</w:t>
            </w:r>
          </w:p>
        </w:tc>
      </w:tr>
      <w:tr>
        <w:trPr>
          <w:trHeight w:val="3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Specimen Preferred Stock Certificate and Form of</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 of Designation of Preferred Stock</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Form of Indenture</w:t>
            </w:r>
          </w:p>
        </w:tc>
        <w:tc>
          <w:tcPr>
            <w:tcW w:w="3100" w:type="dxa"/>
            <w:vAlign w:val="bottom"/>
            <w:gridSpan w:val="6"/>
          </w:tcPr>
          <w:p>
            <w:pPr>
              <w:spacing w:after="0"/>
              <w:rPr>
                <w:sz w:val="23"/>
                <w:szCs w:val="23"/>
                <w:color w:val="auto"/>
              </w:rPr>
            </w:pPr>
          </w:p>
        </w:tc>
        <w:tc>
          <w:tcPr>
            <w:tcW w:w="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Debt Securities</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Common Stock Warrant Agreement and Warrant</w:t>
            </w: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900" w:type="dxa"/>
            <w:vAlign w:val="bottom"/>
          </w:tcPr>
          <w:p>
            <w:pPr>
              <w:spacing w:after="0"/>
              <w:rPr>
                <w:sz w:val="20"/>
                <w:szCs w:val="20"/>
                <w:color w:val="auto"/>
              </w:rPr>
            </w:pP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Preferred Stock Warrant Agreement and Warrant</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4"/>
        </w:trPr>
        <w:tc>
          <w:tcPr>
            <w:tcW w:w="900" w:type="dxa"/>
            <w:vAlign w:val="bottom"/>
          </w:tcPr>
          <w:p>
            <w:pPr>
              <w:spacing w:after="0"/>
              <w:rPr>
                <w:sz w:val="20"/>
                <w:szCs w:val="20"/>
                <w:color w:val="auto"/>
              </w:rPr>
            </w:pP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Debt Securities Warrant Agreement and Warrant</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4"/>
        </w:trPr>
        <w:tc>
          <w:tcPr>
            <w:tcW w:w="900" w:type="dxa"/>
            <w:vAlign w:val="bottom"/>
          </w:tcPr>
          <w:p>
            <w:pPr>
              <w:spacing w:after="0"/>
              <w:rPr>
                <w:sz w:val="20"/>
                <w:szCs w:val="20"/>
                <w:color w:val="auto"/>
              </w:rPr>
            </w:pP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Opinion of Cooley LLP</w:t>
            </w:r>
          </w:p>
        </w:tc>
        <w:tc>
          <w:tcPr>
            <w:tcW w:w="270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BDO USA, P.C.</w:t>
            </w:r>
          </w:p>
        </w:tc>
        <w:tc>
          <w:tcPr>
            <w:tcW w:w="2420" w:type="dxa"/>
            <w:vAlign w:val="bottom"/>
            <w:gridSpan w:val="4"/>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Cooley LLP (included in Exhibit 5.1)</w:t>
            </w:r>
          </w:p>
        </w:tc>
        <w:tc>
          <w:tcPr>
            <w:tcW w:w="9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w:t>
            </w:r>
          </w:p>
        </w:tc>
        <w:tc>
          <w:tcPr>
            <w:tcW w:w="9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55"/>
        </w:trPr>
        <w:tc>
          <w:tcPr>
            <w:tcW w:w="900" w:type="dxa"/>
            <w:vAlign w:val="bottom"/>
          </w:tcPr>
          <w:p>
            <w:pPr>
              <w:spacing w:after="0"/>
              <w:rPr>
                <w:sz w:val="13"/>
                <w:szCs w:val="13"/>
                <w:color w:val="auto"/>
              </w:rPr>
            </w:pPr>
          </w:p>
        </w:tc>
        <w:tc>
          <w:tcPr>
            <w:tcW w:w="38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Form S-3)</w:t>
            </w:r>
          </w:p>
        </w:tc>
        <w:tc>
          <w:tcPr>
            <w:tcW w:w="5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4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 of Eligibility of Trustee under the Indenture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49" w:lineRule="exact"/>
        <w:rPr>
          <w:sz w:val="20"/>
          <w:szCs w:val="20"/>
          <w:color w:val="auto"/>
        </w:rPr>
      </w:pPr>
    </w:p>
    <w:p>
      <w:pPr>
        <w:ind w:left="920" w:hanging="89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report filed under the Exchange Act and incorporated herein by reference,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661" w:lineRule="exact"/>
        <w:rPr>
          <w:sz w:val="20"/>
          <w:szCs w:val="20"/>
          <w:color w:val="auto"/>
        </w:rPr>
      </w:pPr>
    </w:p>
    <w:p>
      <w:pPr>
        <w:sectPr>
          <w:pgSz w:w="11900" w:h="16838" w:orient="portrait"/>
          <w:cols w:equalWidth="0" w:num="2">
            <w:col w:w="10000" w:space="720"/>
            <w:col w:w="48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20" w:top="1440" w:right="379" w:bottom="1440" w:gutter="0" w:footer="0" w:header="0"/>
          <w:type w:val="continuous"/>
        </w:sectPr>
      </w:pPr>
    </w:p>
    <w:bookmarkStart w:id="62" w:name="page63"/>
    <w:bookmarkEnd w:id="62"/>
    <w:p>
      <w:pPr>
        <w:spacing w:after="0" w:line="135"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applicable, in accordance with the requirements of Section 305(b)(2) of the Trust Indenture Act and the applicable rules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71" w:lineRule="exact"/>
        <w:rPr>
          <w:rFonts w:ascii="Times New Roman" w:cs="Times New Roman" w:eastAsia="Times New Roman" w:hAnsi="Times New Roman"/>
          <w:sz w:val="18"/>
          <w:szCs w:val="18"/>
          <w:color w:val="auto"/>
        </w:rPr>
      </w:pPr>
    </w:p>
    <w:p>
      <w:pPr>
        <w:ind w:left="660" w:right="180" w:hanging="4"/>
        <w:spacing w:after="0" w:line="255" w:lineRule="auto"/>
        <w:tabs>
          <w:tab w:leader="none" w:pos="9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660" w:right="540" w:hanging="4"/>
        <w:spacing w:after="0" w:line="282" w:lineRule="auto"/>
        <w:tabs>
          <w:tab w:leader="none" w:pos="9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(a)(i), (a)(ii) and (a)(iii)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this registration statement.</w:t>
      </w:r>
    </w:p>
    <w:p>
      <w:pPr>
        <w:spacing w:after="0" w:line="128" w:lineRule="exact"/>
        <w:rPr>
          <w:sz w:val="20"/>
          <w:szCs w:val="20"/>
          <w:color w:val="auto"/>
        </w:rPr>
      </w:pPr>
    </w:p>
    <w:p>
      <w:pPr>
        <w:ind w:right="180" w:firstLine="8"/>
        <w:spacing w:after="0" w:line="266" w:lineRule="auto"/>
        <w:tabs>
          <w:tab w:leader="none" w:pos="3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3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71" w:lineRule="exact"/>
        <w:rPr>
          <w:rFonts w:ascii="Times New Roman" w:cs="Times New Roman" w:eastAsia="Times New Roman" w:hAnsi="Times New Roman"/>
          <w:sz w:val="18"/>
          <w:szCs w:val="18"/>
          <w:color w:val="auto"/>
        </w:rPr>
      </w:pPr>
    </w:p>
    <w:p>
      <w:pPr>
        <w:ind w:left="660" w:right="240" w:hanging="4"/>
        <w:spacing w:after="0" w:line="282" w:lineRule="auto"/>
        <w:tabs>
          <w:tab w:leader="none" w:pos="9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660" w:hanging="4"/>
        <w:spacing w:after="0" w:line="254" w:lineRule="auto"/>
        <w:tabs>
          <w:tab w:leader="none" w:pos="9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40" w:lineRule="exact"/>
        <w:rPr>
          <w:sz w:val="20"/>
          <w:szCs w:val="20"/>
          <w:color w:val="auto"/>
        </w:rPr>
      </w:pPr>
    </w:p>
    <w:p>
      <w:pPr>
        <w:ind w:left="652" w:right="220"/>
        <w:spacing w:after="0" w:line="282" w:lineRule="auto"/>
        <w:rPr>
          <w:sz w:val="20"/>
          <w:szCs w:val="20"/>
          <w:color w:val="auto"/>
        </w:rPr>
      </w:pPr>
      <w:r>
        <w:rPr>
          <w:rFonts w:ascii="Times New Roman" w:cs="Times New Roman" w:eastAsia="Times New Roman" w:hAnsi="Times New Roman"/>
          <w:sz w:val="18"/>
          <w:szCs w:val="18"/>
          <w:color w:val="auto"/>
        </w:rPr>
        <w:t>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8" w:lineRule="exact"/>
        <w:rPr>
          <w:sz w:val="20"/>
          <w:szCs w:val="20"/>
          <w:color w:val="auto"/>
        </w:rPr>
      </w:pPr>
    </w:p>
    <w:p>
      <w:pPr>
        <w:ind w:left="-8" w:right="80" w:firstLine="8"/>
        <w:spacing w:after="0" w:line="258" w:lineRule="auto"/>
        <w:tabs>
          <w:tab w:leader="none" w:pos="3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9"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652" w:right="620" w:hanging="4"/>
        <w:spacing w:after="0" w:line="282" w:lineRule="auto"/>
        <w:tabs>
          <w:tab w:leader="none" w:pos="9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652" w:right="40" w:hanging="4"/>
        <w:spacing w:after="0" w:line="282" w:lineRule="auto"/>
        <w:tabs>
          <w:tab w:leader="none" w:pos="97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52" w:hanging="304"/>
        <w:spacing w:after="0"/>
        <w:tabs>
          <w:tab w:leader="none" w:pos="9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8" w:right="80" w:firstLine="8"/>
        <w:spacing w:after="0" w:line="261" w:lineRule="auto"/>
        <w:tabs>
          <w:tab w:leader="none" w:pos="3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8"/>
          <w:szCs w:val="18"/>
          <w:color w:val="auto"/>
        </w:rPr>
      </w:pPr>
    </w:p>
    <w:p>
      <w:pPr>
        <w:ind w:left="-8" w:firstLine="8"/>
        <w:spacing w:after="0" w:line="254" w:lineRule="auto"/>
        <w:tabs>
          <w:tab w:leader="none" w:pos="3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37" w:lineRule="exact"/>
        <w:rPr>
          <w:rFonts w:ascii="Times New Roman" w:cs="Times New Roman" w:eastAsia="Times New Roman" w:hAnsi="Times New Roman"/>
          <w:sz w:val="18"/>
          <w:szCs w:val="18"/>
          <w:color w:val="auto"/>
        </w:rPr>
      </w:pPr>
    </w:p>
    <w:p>
      <w:pPr>
        <w:ind w:left="-8" w:right="200" w:firstLine="8"/>
        <w:spacing w:after="0" w:line="282" w:lineRule="auto"/>
        <w:tabs>
          <w:tab w:leader="none" w:pos="3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32"/>
          </w:cols>
          <w:pgMar w:left="328" w:top="1440" w:right="339" w:bottom="1440" w:gutter="0" w:footer="0" w:header="0"/>
        </w:sectPr>
      </w:pPr>
    </w:p>
    <w:bookmarkStart w:id="64" w:name="page65"/>
    <w:bookmarkEnd w:id="6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December 18, 2024.</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17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Dirk 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Dirk Thye, M.D.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 and Chief Medical Officer</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Dirk Thye and Brendan Hannah, and each of them, as their true and lawful attorneys-in-fact and agents, each with the full power of substitution and resubstitution, for him or her and in his or her name, place or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and to file the same, with all exhibits thereto and all other documents in connection therewith, with the Securities and Exchange Commission, and generally to do all such things in their names and behalf in their capacities as officers and directors to enable Quince Therapeutics, Inc. to comply with the provisions of the Securities Act of 1933,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either of them, or their,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48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Dirk 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Dirk Thye, M.D.</w:t>
      </w:r>
    </w:p>
    <w:p>
      <w:pPr>
        <w:spacing w:after="0" w:line="25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Brendan Hannah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Brendan Hannah</w:t>
      </w:r>
    </w:p>
    <w:p>
      <w:pPr>
        <w:spacing w:after="0" w:line="1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Luca Benatti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Luca Benatti, Ph.D.</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June 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June Bray</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David A. Lamond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David A. Lamond</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Margaret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Margaret McLoughlin, Ph.D.</w:t>
      </w:r>
    </w:p>
    <w:p>
      <w:pPr>
        <w:spacing w:after="0" w:line="12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Rajiv Patni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Rajiv Patni, M.D.</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Una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Una Ryan, OBE, Ph.D.</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Christopher J. Senner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Christopher J. Senner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Chief Medical Officer, and Director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128"/>
        </w:trPr>
        <w:tc>
          <w:tcPr>
            <w:tcW w:w="5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18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Business Officer and Chief Operating Officer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236"/>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3080" w:space="720"/>
            <w:col w:w="7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type w:val="continuous"/>
        </w:sectPr>
      </w:pPr>
    </w:p>
    <w:bookmarkStart w:id="66" w:name="page67"/>
    <w:bookmarkEnd w:id="66"/>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880" w:type="dxa"/>
            <w:vAlign w:val="bottom"/>
            <w:tcBorders>
              <w:top w:val="single" w:sz="8" w:color="auto"/>
              <w:left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158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114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 Fee Previously</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Amount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Paid In Connection</w:t>
            </w:r>
          </w:p>
        </w:tc>
        <w:tc>
          <w:tcPr>
            <w:tcW w:w="0" w:type="dxa"/>
            <w:vAlign w:val="bottom"/>
          </w:tcPr>
          <w:p>
            <w:pPr>
              <w:spacing w:after="0"/>
              <w:rPr>
                <w:sz w:val="1"/>
                <w:szCs w:val="1"/>
                <w:color w:val="auto"/>
              </w:rPr>
            </w:pPr>
          </w:p>
        </w:tc>
      </w:tr>
      <w:tr>
        <w:trPr>
          <w:trHeight w:val="122"/>
        </w:trPr>
        <w:tc>
          <w:tcPr>
            <w:tcW w:w="880" w:type="dxa"/>
            <w:vAlign w:val="bottom"/>
            <w:tcBorders>
              <w:left w:val="single" w:sz="8" w:color="auto"/>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Calculation or</w:t>
            </w:r>
          </w:p>
        </w:tc>
        <w:tc>
          <w:tcPr>
            <w:tcW w:w="6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Maximum</w:t>
            </w:r>
          </w:p>
        </w:tc>
        <w:tc>
          <w:tcPr>
            <w:tcW w:w="90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9"/>
              </w:rPr>
              <w:t>Forward</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Initial</w:t>
            </w:r>
          </w:p>
        </w:tc>
        <w:tc>
          <w:tcPr>
            <w:tcW w:w="11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3"/>
              </w:rPr>
              <w:t>with Unsold</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Security Type</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Security Class Title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40" w:type="dxa"/>
            <w:vAlign w:val="bottom"/>
          </w:tcPr>
          <w:p>
            <w:pPr>
              <w:spacing w:after="0"/>
              <w:rPr>
                <w:sz w:val="11"/>
                <w:szCs w:val="11"/>
                <w:color w:val="auto"/>
              </w:rPr>
            </w:pPr>
          </w:p>
        </w:tc>
        <w:tc>
          <w:tcPr>
            <w:tcW w:w="8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Fee Rate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Securities to be</w:t>
            </w:r>
          </w:p>
        </w:tc>
        <w:tc>
          <w:tcPr>
            <w:tcW w:w="0" w:type="dxa"/>
            <w:vAlign w:val="bottom"/>
          </w:tcPr>
          <w:p>
            <w:pPr>
              <w:spacing w:after="0"/>
              <w:rPr>
                <w:sz w:val="1"/>
                <w:szCs w:val="1"/>
                <w:color w:val="auto"/>
              </w:rPr>
            </w:pPr>
          </w:p>
        </w:tc>
      </w:tr>
      <w:tr>
        <w:trPr>
          <w:trHeight w:val="170"/>
        </w:trPr>
        <w:tc>
          <w:tcPr>
            <w:tcW w:w="880" w:type="dxa"/>
            <w:vAlign w:val="bottom"/>
            <w:tcBorders>
              <w:left w:val="single" w:sz="8" w:color="auto"/>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158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Forward Rule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 Unit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Form 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Carried Forward</w:t>
            </w: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Fees to Be</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Debt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 Securities(1)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158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5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Preferred Stock, par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1"/>
                <w:szCs w:val="11"/>
                <w:color w:val="auto"/>
              </w:rPr>
            </w:pPr>
          </w:p>
        </w:tc>
        <w:tc>
          <w:tcPr>
            <w:tcW w:w="800" w:type="dxa"/>
            <w:vAlign w:val="bottom"/>
            <w:tcBorders>
              <w:right w:val="single" w:sz="8" w:color="auto"/>
            </w:tcBorders>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$0.001 per share(1)</w:t>
            </w: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5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Common Stock, par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1"/>
                <w:szCs w:val="11"/>
                <w:color w:val="auto"/>
              </w:rPr>
            </w:pPr>
          </w:p>
        </w:tc>
        <w:tc>
          <w:tcPr>
            <w:tcW w:w="800" w:type="dxa"/>
            <w:vAlign w:val="bottom"/>
            <w:tcBorders>
              <w:right w:val="single" w:sz="8" w:color="auto"/>
            </w:tcBorders>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$0.001 per share(1)</w:t>
            </w: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Warrants(1)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Unallocated</w:t>
            </w:r>
          </w:p>
        </w:tc>
        <w:tc>
          <w:tcPr>
            <w:tcW w:w="9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(Universal)</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$200,000,000</w:t>
            </w:r>
          </w:p>
        </w:tc>
        <w:tc>
          <w:tcPr>
            <w:tcW w:w="4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$0.0001531</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$30,620(4)</w:t>
            </w: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vMerge w:val="continue"/>
          </w:tcPr>
          <w:p>
            <w:pPr>
              <w:spacing w:after="0"/>
              <w:rPr>
                <w:sz w:val="17"/>
                <w:szCs w:val="17"/>
                <w:color w:val="auto"/>
              </w:rPr>
            </w:pPr>
          </w:p>
        </w:tc>
        <w:tc>
          <w:tcPr>
            <w:tcW w:w="1580" w:type="dxa"/>
            <w:vAlign w:val="bottom"/>
            <w:tcBorders>
              <w:bottom w:val="single" w:sz="8" w:color="auto"/>
              <w:right w:val="single" w:sz="8" w:color="auto"/>
            </w:tcBorders>
            <w:vMerge w:val="continue"/>
          </w:tcPr>
          <w:p>
            <w:pPr>
              <w:spacing w:after="0"/>
              <w:rPr>
                <w:sz w:val="17"/>
                <w:szCs w:val="17"/>
                <w:color w:val="auto"/>
              </w:rPr>
            </w:pPr>
          </w:p>
        </w:tc>
        <w:tc>
          <w:tcPr>
            <w:tcW w:w="800" w:type="dxa"/>
            <w:vAlign w:val="bottom"/>
            <w:tcBorders>
              <w:bottom w:val="single" w:sz="8" w:color="auto"/>
              <w:right w:val="single" w:sz="8" w:color="auto"/>
            </w:tcBorders>
            <w:vMerge w:val="continue"/>
          </w:tcPr>
          <w:p>
            <w:pPr>
              <w:spacing w:after="0"/>
              <w:rPr>
                <w:sz w:val="17"/>
                <w:szCs w:val="17"/>
                <w:color w:val="auto"/>
              </w:rPr>
            </w:pPr>
          </w:p>
        </w:tc>
        <w:tc>
          <w:tcPr>
            <w:tcW w:w="660" w:type="dxa"/>
            <w:vAlign w:val="bottom"/>
            <w:tcBorders>
              <w:bottom w:val="single" w:sz="8" w:color="auto"/>
              <w:right w:val="single" w:sz="8" w:color="auto"/>
            </w:tcBorders>
            <w:vMerge w:val="continue"/>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900" w:type="dxa"/>
            <w:vAlign w:val="bottom"/>
            <w:tcBorders>
              <w:bottom w:val="single" w:sz="8" w:color="auto"/>
              <w:right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vMerge w:val="continue"/>
          </w:tcPr>
          <w:p>
            <w:pPr>
              <w:spacing w:after="0"/>
              <w:rPr>
                <w:sz w:val="17"/>
                <w:szCs w:val="17"/>
                <w:color w:val="auto"/>
              </w:rPr>
            </w:pPr>
          </w:p>
        </w:tc>
        <w:tc>
          <w:tcPr>
            <w:tcW w:w="780" w:type="dxa"/>
            <w:vAlign w:val="bottom"/>
            <w:tcBorders>
              <w:bottom w:val="single" w:sz="8" w:color="auto"/>
              <w:right w:val="single" w:sz="8" w:color="auto"/>
            </w:tcBorders>
            <w:vMerge w:val="continue"/>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Fees</w:t>
            </w:r>
          </w:p>
        </w:tc>
        <w:tc>
          <w:tcPr>
            <w:tcW w:w="7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Previously</w:t>
            </w:r>
          </w:p>
        </w:tc>
        <w:tc>
          <w:tcPr>
            <w:tcW w:w="7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7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0" w:type="dxa"/>
            <w:vAlign w:val="bottom"/>
            <w:tcBorders>
              <w:left w:val="single" w:sz="8" w:color="auto"/>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Borders>
              <w:right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w w:val="98"/>
              </w:rPr>
              <w:t>Total Offering Amounts</w:t>
            </w: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$200,000,000</w:t>
            </w:r>
          </w:p>
        </w:tc>
        <w:tc>
          <w:tcPr>
            <w:tcW w:w="40" w:type="dxa"/>
            <w:vAlign w:val="bottom"/>
          </w:tcPr>
          <w:p>
            <w:pPr>
              <w:spacing w:after="0"/>
              <w:rPr>
                <w:sz w:val="16"/>
                <w:szCs w:val="16"/>
                <w:color w:val="auto"/>
              </w:rPr>
            </w:pPr>
          </w:p>
        </w:tc>
        <w:tc>
          <w:tcPr>
            <w:tcW w:w="80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$0.0001531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$30,620</w:t>
            </w:r>
          </w:p>
        </w:tc>
        <w:tc>
          <w:tcPr>
            <w:tcW w:w="6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Borders>
              <w:left w:val="single" w:sz="8" w:color="auto"/>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040" w:type="dxa"/>
            <w:vAlign w:val="bottom"/>
            <w:tcBorders>
              <w:right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Total Fee Offsets</w:t>
            </w: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Net Fee Due</w:t>
            </w: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$30,620</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Separate consideration may or may not be received for securities that are issuable upon the conversion or exercise of, or in exchange for, other securities offered hereby.</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being registered hereunder such indeterminate number of shares of common stock and preferred stock, such indeterminate principal amount of debt securities and such</w:t>
      </w:r>
    </w:p>
    <w:p>
      <w:pPr>
        <w:spacing w:after="0" w:line="11" w:lineRule="exact"/>
        <w:rPr>
          <w:sz w:val="20"/>
          <w:szCs w:val="20"/>
          <w:color w:val="auto"/>
        </w:rPr>
      </w:pPr>
    </w:p>
    <w:p>
      <w:pPr>
        <w:jc w:val="both"/>
        <w:ind w:left="340" w:right="20"/>
        <w:spacing w:after="0" w:line="258" w:lineRule="auto"/>
        <w:rPr>
          <w:sz w:val="20"/>
          <w:szCs w:val="20"/>
          <w:color w:val="auto"/>
        </w:rPr>
      </w:pPr>
      <w:r>
        <w:rPr>
          <w:rFonts w:ascii="Times New Roman" w:cs="Times New Roman" w:eastAsia="Times New Roman" w:hAnsi="Times New Roman"/>
          <w:sz w:val="14"/>
          <w:szCs w:val="14"/>
          <w:color w:val="auto"/>
        </w:rPr>
        <w:t>indeterminate number of warrants to purchase common stock, preferred stock and/or debt securities to be sold by the Registrant from time to time at unspecified prices which shall have an aggregate initial offering price not to exceed $200,000,000. If any debt securities are issued at an original issue discount, then the principal amount of such debt securities shall be in such greater amount as shall result in an aggregate initial offering price not to exceed $200,000,000, less the aggregate dollar amount of all securities previously issued hereunder. The securities registered for sale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4" w:lineRule="exact"/>
        <w:rPr>
          <w:sz w:val="20"/>
          <w:szCs w:val="20"/>
          <w:color w:val="auto"/>
        </w:rPr>
      </w:pPr>
    </w:p>
    <w:p>
      <w:pPr>
        <w:jc w:val="both"/>
        <w:ind w:left="340" w:right="20" w:hanging="332"/>
        <w:spacing w:after="0" w:line="254" w:lineRule="auto"/>
        <w:tabs>
          <w:tab w:leader="none" w:pos="38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aggregate offering price has been calculated pursuant to Rule 457(o) under the Securities Act.</w:t>
      </w:r>
    </w:p>
    <w:p>
      <w:pPr>
        <w:sectPr>
          <w:pgSz w:w="11900" w:h="16838" w:orient="portrait"/>
          <w:cols w:equalWidth="0" w:num="1">
            <w:col w:w="11260"/>
          </w:cols>
          <w:pgMar w:left="320" w:top="117"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QUINCE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Shares of Common Stock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(par value $0.001 per share)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Controlled Equity Offering</w:t>
      </w:r>
      <w:r>
        <w:rPr>
          <w:rFonts w:ascii="Times New Roman" w:cs="Times New Roman" w:eastAsia="Times New Roman" w:hAnsi="Times New Roman"/>
          <w:sz w:val="28"/>
          <w:szCs w:val="28"/>
          <w:b w:val="1"/>
          <w:bCs w:val="1"/>
          <w:color w:val="auto"/>
          <w:vertAlign w:val="superscript"/>
        </w:rPr>
        <w:t>SM</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18,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59th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Wainwright &amp; Co.,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 Park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Quince Therapeutics,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Cantor Fitzgerald &amp; Co. and H.C. Wainwright &amp; Co., LLC (each individually an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as follows:</w:t>
      </w:r>
    </w:p>
    <w:p>
      <w:pPr>
        <w:spacing w:after="0" w:line="165" w:lineRule="exact"/>
        <w:rPr>
          <w:sz w:val="20"/>
          <w:szCs w:val="20"/>
          <w:color w:val="auto"/>
        </w:rPr>
      </w:pPr>
    </w:p>
    <w:p>
      <w:pPr>
        <w:jc w:val="both"/>
        <w:ind w:firstLine="656"/>
        <w:spacing w:after="0" w:line="247" w:lineRule="auto"/>
        <w:tabs>
          <w:tab w:leader="none" w:pos="105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to or through the Agents, as sales agents or principals, shares of common stock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 par value $0.001 per share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no event shall the Company issue or sell through the Agents such number or dollar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Sales Prospectus (defined below) (the lesser of (a), (b), (c) and (d),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and which will be declared effective by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although nothing in</w:t>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this Agreement shall be construed as requiring the Company to use the Registration Statement to issue Common Stock.</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Company shall file, in accordance with the provisions of the Securities Act of 1933, as amended (the “</w:t>
      </w:r>
      <w:r>
        <w:rPr>
          <w:rFonts w:ascii="Times New Roman" w:cs="Times New Roman" w:eastAsia="Times New Roman" w:hAnsi="Times New Roman"/>
          <w:sz w:val="22"/>
          <w:szCs w:val="22"/>
          <w:b w:val="1"/>
          <w:bCs w:val="1"/>
          <w:u w:val="single" w:color="auto"/>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color w:val="auto"/>
        </w:rPr>
        <w:t>”), and the rules and regulations thereunder (the “</w:t>
      </w:r>
      <w:r>
        <w:rPr>
          <w:rFonts w:ascii="Times New Roman" w:cs="Times New Roman" w:eastAsia="Times New Roman" w:hAnsi="Times New Roman"/>
          <w:sz w:val="22"/>
          <w:szCs w:val="22"/>
          <w:b w:val="1"/>
          <w:bCs w:val="1"/>
          <w:u w:val="single" w:color="auto"/>
          <w:color w:val="auto"/>
        </w:rPr>
        <w:t>Securities Act Regulations</w:t>
      </w:r>
      <w:r>
        <w:rPr>
          <w:rFonts w:ascii="Times New Roman" w:cs="Times New Roman" w:eastAsia="Times New Roman" w:hAnsi="Times New Roman"/>
          <w:sz w:val="22"/>
          <w:szCs w:val="22"/>
          <w:color w:val="auto"/>
        </w:rPr>
        <w:t>”), with the Commission a registration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and the rules and regulations thereunder. The Company has prepared a prospectus included as part of the registration statement, which prospectus relates to the Placement Shares to be issued from time to time by the Company (the “</w:t>
      </w:r>
      <w:r>
        <w:rPr>
          <w:rFonts w:ascii="Times New Roman" w:cs="Times New Roman" w:eastAsia="Times New Roman" w:hAnsi="Times New Roman"/>
          <w:sz w:val="22"/>
          <w:szCs w:val="22"/>
          <w:b w:val="1"/>
          <w:bCs w:val="1"/>
          <w:u w:val="single" w:color="auto"/>
          <w:color w:val="auto"/>
        </w:rPr>
        <w:t>Sales Prospectus</w:t>
      </w:r>
      <w:r>
        <w:rPr>
          <w:rFonts w:ascii="Times New Roman" w:cs="Times New Roman" w:eastAsia="Times New Roman" w:hAnsi="Times New Roman"/>
          <w:sz w:val="22"/>
          <w:szCs w:val="22"/>
          <w:color w:val="auto"/>
        </w:rPr>
        <w:t>”). The Company will furnish to the Agents, for use by the Agents, copies of the prospectus included as part of such registration statement, as may be supplemented by any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w:t>
      </w:r>
      <w:r>
        <w:rPr>
          <w:rFonts w:ascii="Times New Roman" w:cs="Times New Roman" w:eastAsia="Times New Roman" w:hAnsi="Times New Roman"/>
          <w:sz w:val="22"/>
          <w:szCs w:val="22"/>
          <w:b w:val="1"/>
          <w:bCs w:val="1"/>
          <w:u w:val="single" w:color="auto"/>
          <w:color w:val="auto"/>
        </w:rPr>
        <w:t>Prospectus Supplement</w:t>
      </w:r>
      <w:r>
        <w:rPr>
          <w:rFonts w:ascii="Times New Roman" w:cs="Times New Roman" w:eastAsia="Times New Roman" w:hAnsi="Times New Roman"/>
          <w:sz w:val="22"/>
          <w:szCs w:val="22"/>
          <w:color w:val="auto"/>
        </w:rPr>
        <w:t>”), with respect to the Placement Shares, is herein called the “</w:t>
      </w:r>
      <w:r>
        <w:rPr>
          <w:rFonts w:ascii="Times New Roman" w:cs="Times New Roman" w:eastAsia="Times New Roman" w:hAnsi="Times New Roman"/>
          <w:sz w:val="22"/>
          <w:szCs w:val="22"/>
          <w:b w:val="1"/>
          <w:bCs w:val="1"/>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Statement</w:t>
      </w:r>
      <w:r>
        <w:rPr>
          <w:rFonts w:ascii="Times New Roman" w:cs="Times New Roman" w:eastAsia="Times New Roman" w:hAnsi="Times New Roman"/>
          <w:sz w:val="22"/>
          <w:szCs w:val="22"/>
          <w:color w:val="auto"/>
        </w:rPr>
        <w:t>.” The base prospectus and the Sales Prospectus, including all documents incorporated therein by reference, included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Registration Statement, as they may be supplemented, if necessary, by a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reference herein to the Registration Statement, the Sales Prospectus,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22"/>
          <w:szCs w:val="22"/>
          <w:b w:val="1"/>
          <w:bCs w:val="1"/>
          <w:u w:val="single" w:color="auto"/>
          <w:color w:val="auto"/>
        </w:rPr>
        <w:t>Incorporated Documents</w:t>
      </w:r>
      <w:r>
        <w:rPr>
          <w:rFonts w:ascii="Times New Roman" w:cs="Times New Roman" w:eastAsia="Times New Roman" w:hAnsi="Times New Roman"/>
          <w:sz w:val="22"/>
          <w:szCs w:val="22"/>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any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w:t>
      </w:r>
    </w:p>
    <w:p>
      <w:pPr>
        <w:sectPr>
          <w:pgSz w:w="11900" w:h="16838" w:orient="portrait"/>
          <w:cols w:equalWidth="0" w:num="1">
            <w:col w:w="11240"/>
          </w:cols>
          <w:pgMar w:left="320" w:top="142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applicable, the Interactive Data Electronic Application system when used by the Commission (collectively, “</w:t>
      </w:r>
      <w:r>
        <w:rPr>
          <w:rFonts w:ascii="Times New Roman" w:cs="Times New Roman" w:eastAsia="Times New Roman" w:hAnsi="Times New Roman"/>
          <w:sz w:val="22"/>
          <w:szCs w:val="22"/>
          <w:b w:val="1"/>
          <w:bCs w:val="1"/>
          <w:u w:val="single" w:color="auto"/>
          <w:color w:val="auto"/>
        </w:rPr>
        <w:t>EDGAR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7" w:lineRule="auto"/>
        <w:tabs>
          <w:tab w:leader="none" w:pos="10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Placements</w:t>
      </w:r>
      <w:r>
        <w:rPr>
          <w:rFonts w:ascii="Times New Roman" w:cs="Times New Roman" w:eastAsia="Times New Roman" w:hAnsi="Times New Roman"/>
          <w:sz w:val="22"/>
          <w:szCs w:val="22"/>
          <w:color w:val="auto"/>
        </w:rPr>
        <w:t>. Each time that the Company wishes to issue and sell Placement Shares hereunder (each,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it will notify one of the Agents that the Company may select in its sole discretion from time to time (the “</w:t>
      </w:r>
      <w:r>
        <w:rPr>
          <w:rFonts w:ascii="Times New Roman" w:cs="Times New Roman" w:eastAsia="Times New Roman" w:hAnsi="Times New Roman"/>
          <w:sz w:val="22"/>
          <w:szCs w:val="22"/>
          <w:b w:val="1"/>
          <w:bCs w:val="1"/>
          <w:u w:val="single" w:color="auto"/>
          <w:color w:val="auto"/>
        </w:rPr>
        <w:t>Designated Agent</w:t>
      </w:r>
      <w:r>
        <w:rPr>
          <w:rFonts w:ascii="Times New Roman" w:cs="Times New Roman" w:eastAsia="Times New Roman" w:hAnsi="Times New Roman"/>
          <w:sz w:val="22"/>
          <w:szCs w:val="22"/>
          <w:color w:val="auto"/>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22"/>
          <w:szCs w:val="22"/>
          <w:b w:val="1"/>
          <w:bCs w:val="1"/>
          <w:u w:val="single" w:color="auto"/>
          <w:color w:val="auto"/>
        </w:rPr>
        <w:t>Placement Notice</w:t>
      </w:r>
      <w:r>
        <w:rPr>
          <w:rFonts w:ascii="Times New Roman" w:cs="Times New Roman" w:eastAsia="Times New Roman" w:hAnsi="Times New Roman"/>
          <w:sz w:val="22"/>
          <w:szCs w:val="22"/>
          <w:color w:val="auto"/>
        </w:rPr>
        <w:t xml:space="preserve">”), the form of which is 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The Placement Notice shall originate from any of the individuals from the Company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as such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may be amended from time to time. The Placement Notice shall be effective unless and until (i) the Designated Agent declines in writing to accept the terms contained therein for any reason, in its sole discretion, (ii) the entire amount of the Placement Shares thereunder have been sold, (iii) the Company amends, supersedes, suspends or terminates the Placement Notice or (iv) this Agreement has been terminated under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(and the Company does not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200" w:lineRule="exact"/>
        <w:rPr>
          <w:rFonts w:ascii="Times New Roman" w:cs="Times New Roman" w:eastAsia="Times New Roman" w:hAnsi="Times New Roman"/>
          <w:sz w:val="22"/>
          <w:szCs w:val="22"/>
          <w:color w:val="auto"/>
        </w:rPr>
      </w:pPr>
    </w:p>
    <w:p>
      <w:pPr>
        <w:jc w:val="both"/>
        <w:ind w:firstLine="656"/>
        <w:spacing w:after="0" w:line="261" w:lineRule="auto"/>
        <w:tabs>
          <w:tab w:leader="none" w:pos="105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Placement Shares by the Designated Agent</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Global Select Market (the “</w:t>
      </w:r>
      <w:r>
        <w:rPr>
          <w:rFonts w:ascii="Times New Roman" w:cs="Times New Roman" w:eastAsia="Times New Roman" w:hAnsi="Times New Roman"/>
          <w:sz w:val="21"/>
          <w:szCs w:val="21"/>
          <w:b w:val="1"/>
          <w:bCs w:val="1"/>
          <w:u w:val="single" w:color="auto"/>
          <w:color w:val="auto"/>
        </w:rPr>
        <w:t>Exchange</w:t>
      </w:r>
      <w:r>
        <w:rPr>
          <w:rFonts w:ascii="Times New Roman" w:cs="Times New Roman" w:eastAsia="Times New Roman" w:hAnsi="Times New Roman"/>
          <w:sz w:val="21"/>
          <w:szCs w:val="21"/>
          <w:color w:val="auto"/>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from the gross proceeds that it receives from such sales. Subject to the terms of the Placement Notice, the Designated Agent may sell Placement Shares by any method permitted by law deemed to be an “at the market offering” as defined in Rule 415(a)(4) of the Securities Act Regulations. “</w:t>
      </w:r>
      <w:r>
        <w:rPr>
          <w:rFonts w:ascii="Times New Roman" w:cs="Times New Roman" w:eastAsia="Times New Roman" w:hAnsi="Times New Roman"/>
          <w:sz w:val="21"/>
          <w:szCs w:val="21"/>
          <w:b w:val="1"/>
          <w:bCs w:val="1"/>
          <w:u w:val="single" w:color="auto"/>
          <w:color w:val="auto"/>
        </w:rPr>
        <w:t>Trading Day</w:t>
      </w:r>
      <w:r>
        <w:rPr>
          <w:rFonts w:ascii="Times New Roman" w:cs="Times New Roman" w:eastAsia="Times New Roman" w:hAnsi="Times New Roman"/>
          <w:sz w:val="21"/>
          <w:szCs w:val="21"/>
          <w:color w:val="auto"/>
        </w:rPr>
        <w:t>” means any day on which Common Stock is traded on the Exchange.</w:t>
      </w:r>
    </w:p>
    <w:p>
      <w:pPr>
        <w:sectPr>
          <w:pgSz w:w="11900" w:h="16838" w:orient="portrait"/>
          <w:cols w:equalWidth="0" w:num="1">
            <w:col w:w="11240"/>
          </w:cols>
          <w:pgMar w:left="320" w:top="1418" w:right="339" w:bottom="1440" w:gutter="0" w:footer="0" w:header="0"/>
        </w:sectPr>
      </w:pPr>
    </w:p>
    <w:bookmarkStart w:id="70" w:name="page71"/>
    <w:bookmarkEnd w:id="70"/>
    <w:p>
      <w:pPr>
        <w:jc w:val="both"/>
        <w:ind w:left="-656" w:firstLine="656"/>
        <w:spacing w:after="0" w:line="247" w:lineRule="auto"/>
        <w:tabs>
          <w:tab w:leader="none" w:pos="37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suspend any sale of Placement Shares (a “</w:t>
      </w:r>
      <w:r>
        <w:rPr>
          <w:rFonts w:ascii="Times New Roman" w:cs="Times New Roman" w:eastAsia="Times New Roman" w:hAnsi="Times New Roman"/>
          <w:sz w:val="22"/>
          <w:szCs w:val="22"/>
          <w:b w:val="1"/>
          <w:bCs w:val="1"/>
          <w:u w:val="single" w:color="auto"/>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22"/>
          <w:szCs w:val="22"/>
          <w:u w:val="single" w:color="auto"/>
          <w:color w:val="auto"/>
        </w:rPr>
        <w:t>Sections 7(l)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7(n)</w:t>
      </w:r>
      <w:r>
        <w:rPr>
          <w:rFonts w:ascii="Times New Roman" w:cs="Times New Roman" w:eastAsia="Times New Roman" w:hAnsi="Times New Roman"/>
          <w:sz w:val="22"/>
          <w:szCs w:val="22"/>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any other party unless it is made to one of the individuals named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Shares will take place, (ii) the Company shall not request the sale of any Placement Shares, and (iii) the Agents shall not be obligated to sell or offer to sell any Placement Shares.</w:t>
      </w:r>
    </w:p>
    <w:p>
      <w:pPr>
        <w:spacing w:after="0" w:line="192"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and Delivery to the Designated Agent; Settlement</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left="-656" w:firstLine="1304"/>
        <w:spacing w:after="0" w:line="261" w:lineRule="auto"/>
        <w:tabs>
          <w:tab w:leader="none" w:pos="112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Placement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69" w:lineRule="exact"/>
        <w:rPr>
          <w:rFonts w:ascii="Times New Roman" w:cs="Times New Roman" w:eastAsia="Times New Roman" w:hAnsi="Times New Roman"/>
          <w:sz w:val="21"/>
          <w:szCs w:val="21"/>
          <w:color w:val="auto"/>
        </w:rPr>
      </w:pPr>
    </w:p>
    <w:p>
      <w:pPr>
        <w:jc w:val="both"/>
        <w:ind w:left="-656" w:firstLine="1304"/>
        <w:spacing w:after="0" w:line="252" w:lineRule="auto"/>
        <w:tabs>
          <w:tab w:leader="none" w:pos="116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w:t>
      </w:r>
    </w:p>
    <w:p>
      <w:pPr>
        <w:sectPr>
          <w:pgSz w:w="11900" w:h="16838" w:orient="portrait"/>
          <w:cols w:equalWidth="0" w:num="1">
            <w:col w:w="10584"/>
          </w:cols>
          <w:pgMar w:left="976" w:top="1422"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22"/>
          <w:szCs w:val="22"/>
          <w:color w:val="auto"/>
        </w:rPr>
        <w:t>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and (ii) any transaction fees imposed by any Governmental Authority in respect of such sales.</w:t>
      </w:r>
    </w:p>
    <w:p>
      <w:pPr>
        <w:spacing w:after="0" w:line="172" w:lineRule="exact"/>
        <w:rPr>
          <w:sz w:val="20"/>
          <w:szCs w:val="20"/>
          <w:color w:val="auto"/>
        </w:rPr>
      </w:pPr>
    </w:p>
    <w:p>
      <w:pPr>
        <w:jc w:val="both"/>
        <w:ind w:firstLine="1304"/>
        <w:spacing w:after="0" w:line="259" w:lineRule="auto"/>
        <w:tabs>
          <w:tab w:leader="none" w:pos="188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Placement Shares</w:t>
      </w:r>
      <w:r>
        <w:rPr>
          <w:rFonts w:ascii="Times New Roman" w:cs="Times New Roman" w:eastAsia="Times New Roman" w:hAnsi="Times New Roman"/>
          <w:sz w:val="21"/>
          <w:szCs w:val="21"/>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Designated Agent will be responsible for providing DWAC instructions or instructions for delivery by other means with regard to the transfer of the Placement Shares to be sold. The Company agrees that if the Company (other than as a result of a failure by the Designated Agent to provide instructions for delivery), or its transfer agent (if applicable), defaults in its obligation to deliver Placement Shares on a Settlement Date, the Company agrees that in addition to and in no way limiting the rights and obligations set forth in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xml:space="preserve"> hereto, it will (i) hold the Designated Agent harmless against any loss, claim, damage, or reasonable and documented expense (including reasonable and documented legal fees and expenses), as incurred, arising out of or in connection with such default by the Company or its transfer agent (if applicable) and (ii) pay to the Designated Agent (without duplication) any commission, discount, or other compensation to which it would otherwise have been entitled absent such default.</w:t>
      </w:r>
    </w:p>
    <w:p>
      <w:pPr>
        <w:spacing w:after="0" w:line="191"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Denominations; Registration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Certificates for the Placement Shares, if any, shall be in such denominations and registered in such names as the Agents may request in writing at least one full Business Day (as defined below) before the applicable Settlement Date. The certificates for the Placement Shares, if any, will be made available by the Company for examination and packaging by the Agents in The City of New York not later than noon (New York time) on the Business Day prior to the applicable Settlement Date. The Company and the Agents each acknowledge and agree that the Placement Shares shall, unless agreed to by the Company and Agents or required by applicable law, not be issued in certificated form.</w:t>
      </w:r>
    </w:p>
    <w:p>
      <w:pPr>
        <w:spacing w:after="0" w:line="174" w:lineRule="exact"/>
        <w:rPr>
          <w:rFonts w:ascii="Times New Roman" w:cs="Times New Roman" w:eastAsia="Times New Roman" w:hAnsi="Times New Roman"/>
          <w:sz w:val="22"/>
          <w:szCs w:val="22"/>
          <w:color w:val="auto"/>
        </w:rPr>
      </w:pPr>
    </w:p>
    <w:p>
      <w:pPr>
        <w:jc w:val="both"/>
        <w:ind w:firstLine="1304"/>
        <w:spacing w:after="0" w:line="266" w:lineRule="auto"/>
        <w:tabs>
          <w:tab w:leader="none" w:pos="175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Offering Size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w:t>
      </w:r>
    </w:p>
    <w:p>
      <w:pPr>
        <w:sectPr>
          <w:pgSz w:w="11900" w:h="16838" w:orient="portrait"/>
          <w:cols w:equalWidth="0" w:num="1">
            <w:col w:w="11240"/>
          </w:cols>
          <w:pgMar w:left="320" w:top="1418"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22"/>
          <w:szCs w:val="22"/>
          <w:color w:val="auto"/>
        </w:rPr>
        <w:t>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76" w:lineRule="exact"/>
        <w:rPr>
          <w:sz w:val="20"/>
          <w:szCs w:val="20"/>
          <w:color w:val="auto"/>
        </w:rPr>
      </w:pPr>
    </w:p>
    <w:p>
      <w:pPr>
        <w:jc w:val="both"/>
        <w:ind w:firstLine="1304"/>
        <w:spacing w:after="0" w:line="268" w:lineRule="auto"/>
        <w:tabs>
          <w:tab w:leader="none" w:pos="174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Through Agents</w:t>
      </w:r>
      <w:r>
        <w:rPr>
          <w:rFonts w:ascii="Times New Roman" w:cs="Times New Roman" w:eastAsia="Times New Roman" w:hAnsi="Times New Roman"/>
          <w:sz w:val="21"/>
          <w:szCs w:val="21"/>
          <w:color w:val="auto"/>
        </w:rPr>
        <w:t>. With respect to the offering and sale of Placement Shares pursuant to this Agreement, the Company agrees that any offer to sell Placement Shares, any solicitation of an offer to buy Placement Shares, and any sales of Placement Shares shall only be effected by or through the Designated Agent on any single given day, and the Company shall in no event request that more than one Agent offer or sell Placement Shares pursuant to this Agreement on the same day.</w:t>
      </w:r>
    </w:p>
    <w:p>
      <w:pPr>
        <w:spacing w:after="0" w:line="176" w:lineRule="exact"/>
        <w:rPr>
          <w:rFonts w:ascii="Times New Roman" w:cs="Times New Roman" w:eastAsia="Times New Roman" w:hAnsi="Times New Roman"/>
          <w:sz w:val="21"/>
          <w:szCs w:val="21"/>
          <w:color w:val="auto"/>
        </w:rPr>
      </w:pPr>
    </w:p>
    <w:p>
      <w:pPr>
        <w:jc w:val="both"/>
        <w:ind w:firstLine="656"/>
        <w:spacing w:after="0" w:line="257" w:lineRule="auto"/>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each Agent that as of the date of this Agreement and as of each Applicable Time (as defined below) unless such representation, warranty or agreement specifies a different time :</w:t>
      </w:r>
    </w:p>
    <w:p>
      <w:pPr>
        <w:spacing w:after="0" w:line="17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9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and Prospectus</w:t>
      </w:r>
      <w:r>
        <w:rPr>
          <w:rFonts w:ascii="Times New Roman" w:cs="Times New Roman" w:eastAsia="Times New Roman" w:hAnsi="Times New Roman"/>
          <w:sz w:val="21"/>
          <w:szCs w:val="21"/>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will be declared effective by the Commission under the Securities Act prior to the issuance of any Placement Notices by the Company. As of each Applicable Time, the Registration Statement is effective. The Sales Prospectus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Agents have consented, and any such consent not to be unreasonably withheld, conditioned or delayed. The Common Stock is registered pursuant to Section 12(b) of the Exchange Act and is currently listed on the Exchange under the trading symbol “QNCX.” The Company has taken no action designed to, or likely to have the effect of, terminating the registration of the Common Stock under the Exchange Act, delisting the Common Stock from the Exchange, nor has the Company received any notification that the</w:t>
      </w:r>
    </w:p>
    <w:p>
      <w:pPr>
        <w:sectPr>
          <w:pgSz w:w="11900" w:h="16838" w:orient="portrait"/>
          <w:cols w:equalWidth="0" w:num="1">
            <w:col w:w="11240"/>
          </w:cols>
          <w:pgMar w:left="320" w:top="1422" w:right="339" w:bottom="1440" w:gutter="0" w:footer="0" w:header="0"/>
        </w:sectPr>
      </w:pPr>
    </w:p>
    <w:bookmarkStart w:id="73" w:name="page74"/>
    <w:bookmarkEnd w:id="73"/>
    <w:p>
      <w:pPr>
        <w:spacing w:after="0" w:line="271" w:lineRule="auto"/>
        <w:rPr>
          <w:sz w:val="20"/>
          <w:szCs w:val="20"/>
          <w:color w:val="auto"/>
        </w:rPr>
      </w:pPr>
      <w:r>
        <w:rPr>
          <w:rFonts w:ascii="Times New Roman" w:cs="Times New Roman" w:eastAsia="Times New Roman" w:hAnsi="Times New Roman"/>
          <w:sz w:val="22"/>
          <w:szCs w:val="22"/>
          <w:color w:val="auto"/>
        </w:rPr>
        <w:t>Commission or the Exchange is contemplating terminating such registration or listing. To the Company’s knowledge, it is in compliance with all applicable listing requirements of the Exchange.</w:t>
      </w:r>
    </w:p>
    <w:p>
      <w:pPr>
        <w:spacing w:after="0" w:line="158" w:lineRule="exact"/>
        <w:rPr>
          <w:sz w:val="20"/>
          <w:szCs w:val="20"/>
          <w:color w:val="auto"/>
        </w:rPr>
      </w:pPr>
    </w:p>
    <w:p>
      <w:pPr>
        <w:jc w:val="both"/>
        <w:ind w:firstLine="1304"/>
        <w:spacing w:after="0" w:line="247" w:lineRule="auto"/>
        <w:tabs>
          <w:tab w:leader="none" w:pos="183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w:t>
      </w:r>
      <w:r>
        <w:rPr>
          <w:rFonts w:ascii="Times New Roman" w:cs="Times New Roman" w:eastAsia="Times New Roman" w:hAnsi="Times New Roman"/>
          <w:sz w:val="22"/>
          <w:szCs w:val="22"/>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as of the date it became or becomes effective, did not, and will not, contain an untrue statement of a material fact or omit to state a material fact required to be stated therein or necessary to make the statements therein not misleading. The Sales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in writing specifically for use in the preparation thereof, it being understood and agreed that the only such information furnished by the Agents to the Company consists of “Agents Information” as defined below.</w:t>
      </w:r>
    </w:p>
    <w:p>
      <w:pPr>
        <w:spacing w:after="0" w:line="19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7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the Securities Act and Exchange Act</w:t>
      </w:r>
      <w:r>
        <w:rPr>
          <w:rFonts w:ascii="Times New Roman" w:cs="Times New Roman" w:eastAsia="Times New Roman" w:hAnsi="Times New Roman"/>
          <w:sz w:val="22"/>
          <w:szCs w:val="22"/>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and Exchange Act and in conformity with U.S. Generally Accepted Accounting Principles (“</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applied on a consistent basis during the periods involved (except (i) as may be otherwise indicated in such financial statements or notes thereto, or (ii) in the case of unaudited financial statements, to the extent they may exclude footnotes or may be condensed or summary</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47" w:lineRule="auto"/>
        <w:rPr>
          <w:sz w:val="20"/>
          <w:szCs w:val="20"/>
          <w:color w:val="auto"/>
        </w:rPr>
      </w:pPr>
      <w:r>
        <w:rPr>
          <w:rFonts w:ascii="Times New Roman" w:cs="Times New Roman" w:eastAsia="Times New Roman" w:hAnsi="Times New Roman"/>
          <w:sz w:val="22"/>
          <w:szCs w:val="22"/>
          <w:color w:val="auto"/>
        </w:rPr>
        <w:t>statements and subject to normal year-end audit adjustments); the other financial and statistical data with respect to the Company and the Subsidiaries (as defined below) contained or incorporated by reference in the Registration Statement, the Prospectus and the Issuer Free Writing Prospectuses, if any, are accurately and fairly presented in all material respects and are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203" w:lineRule="exact"/>
        <w:rPr>
          <w:sz w:val="20"/>
          <w:szCs w:val="20"/>
          <w:color w:val="auto"/>
        </w:rPr>
      </w:pPr>
    </w:p>
    <w:p>
      <w:pPr>
        <w:jc w:val="both"/>
        <w:ind w:firstLine="1304"/>
        <w:spacing w:after="0" w:line="257" w:lineRule="auto"/>
        <w:tabs>
          <w:tab w:leader="none" w:pos="177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EDGAR Filing</w:t>
      </w:r>
      <w:r>
        <w:rPr>
          <w:rFonts w:ascii="Times New Roman" w:cs="Times New Roman" w:eastAsia="Times New Roman" w:hAnsi="Times New Roman"/>
          <w:sz w:val="22"/>
          <w:szCs w:val="22"/>
          <w:color w:val="auto"/>
        </w:rPr>
        <w:t>.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Except as set forth in the Registration Statement and in the Prospectus, the subsidiaries set forth on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color w:val="auto"/>
        </w:rPr>
        <w:t>”), are the Company’s only significant subsidiaries (as such term is defined in Rule 1-02 of Regulation S-X promulgated by the Commission). Except as set forth in the Registration Statement and in the</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0" w:lineRule="auto"/>
        <w:rPr>
          <w:sz w:val="20"/>
          <w:szCs w:val="20"/>
          <w:color w:val="auto"/>
        </w:rPr>
      </w:pPr>
      <w:r>
        <w:rPr>
          <w:rFonts w:ascii="Times New Roman" w:cs="Times New Roman" w:eastAsia="Times New Roman" w:hAnsi="Times New Roman"/>
          <w:sz w:val="22"/>
          <w:szCs w:val="22"/>
          <w:color w:val="auto"/>
        </w:rPr>
        <w:t>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Except as described in the Registration Statement and the Prospectus,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0" w:lineRule="exact"/>
        <w:rPr>
          <w:sz w:val="20"/>
          <w:szCs w:val="20"/>
          <w:color w:val="auto"/>
        </w:rPr>
      </w:pPr>
    </w:p>
    <w:p>
      <w:pPr>
        <w:jc w:val="both"/>
        <w:ind w:firstLine="1304"/>
        <w:spacing w:after="0" w:line="250" w:lineRule="auto"/>
        <w:tabs>
          <w:tab w:leader="none" w:pos="180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Subsequent to the respective dates as of which information is given in the Registration Statement, the Prospectus and the Free Writing Prospectuses, if any (including any document deemed incorporated by reference therein) and other than the Company’s execution of this Agreement and the sale of any Placement Shares,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8"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5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and such authorized capital stock conforms to the description thereof set forth in the Registration Statement and the Prospectus. The description of the securities of the Company in the Registration Statement and the Prospectus is complete and accurate in all material respects.</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22"/>
          <w:szCs w:val="22"/>
          <w:color w:val="auto"/>
        </w:rPr>
        <w:t>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76" w:lineRule="exact"/>
        <w:rPr>
          <w:sz w:val="20"/>
          <w:szCs w:val="20"/>
          <w:color w:val="auto"/>
        </w:rPr>
      </w:pPr>
    </w:p>
    <w:p>
      <w:pPr>
        <w:jc w:val="both"/>
        <w:ind w:firstLine="1304"/>
        <w:spacing w:after="0" w:line="265" w:lineRule="auto"/>
        <w:tabs>
          <w:tab w:leader="none" w:pos="176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Enforceability</w:t>
      </w:r>
      <w:r>
        <w:rPr>
          <w:rFonts w:ascii="Times New Roman" w:cs="Times New Roman" w:eastAsia="Times New Roman" w:hAnsi="Times New Roman"/>
          <w:sz w:val="21"/>
          <w:szCs w:val="21"/>
          <w:color w:val="auto"/>
        </w:rPr>
        <w:t>. The Company has the requisite corporate right, power and authority to execute and deliver this Agreement and perform its obligations thereunder. This Agreement has been duly authorized, executed and delivered by the Company and is a legal, valid and binding agreement of the Company enforceable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10 hereof may be limited by federal or state securities laws and public policy considerations in respect thereof.</w:t>
      </w:r>
    </w:p>
    <w:p>
      <w:pPr>
        <w:spacing w:after="0" w:line="16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Placement Shares</w:t>
      </w:r>
      <w:r>
        <w:rPr>
          <w:rFonts w:ascii="Times New Roman" w:cs="Times New Roman" w:eastAsia="Times New Roman" w:hAnsi="Times New Roman"/>
          <w:sz w:val="22"/>
          <w:szCs w:val="22"/>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Consents Required</w:t>
      </w:r>
      <w:r>
        <w:rPr>
          <w:rFonts w:ascii="Times New Roman" w:cs="Times New Roman" w:eastAsia="Times New Roman" w:hAnsi="Times New Roman"/>
          <w:sz w:val="22"/>
          <w:szCs w:val="22"/>
          <w:color w:val="auto"/>
        </w:rPr>
        <w:t>. No consent, approval, authorization, order, registration or qualification of or with any Governmental Authority is required for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 w:cs="Times New Roman" w:eastAsia="Times New Roman" w:hAnsi="Times New Roman"/>
          <w:sz w:val="22"/>
          <w:szCs w:val="22"/>
          <w:b w:val="1"/>
          <w:bCs w:val="1"/>
          <w:u w:val="single" w:color="auto"/>
          <w:color w:val="auto"/>
        </w:rPr>
        <w:t>FINRA</w:t>
      </w:r>
      <w:r>
        <w:rPr>
          <w:rFonts w:ascii="Times New Roman" w:cs="Times New Roman" w:eastAsia="Times New Roman" w:hAnsi="Times New Roman"/>
          <w:sz w:val="22"/>
          <w:szCs w:val="22"/>
          <w:color w:val="auto"/>
        </w:rPr>
        <w:t>”) or the Exchange in connection with the sale of the Placement Shares by the Agents.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Preferential Rights</w:t>
      </w:r>
      <w:r>
        <w:rPr>
          <w:rFonts w:ascii="Times New Roman" w:cs="Times New Roman" w:eastAsia="Times New Roman" w:hAnsi="Times New Roman"/>
          <w:sz w:val="22"/>
          <w:szCs w:val="22"/>
          <w:color w:val="auto"/>
        </w:rPr>
        <w:t>. Except as set forth in the Registration Statement and the Prospectus, (i) no person, as such term is defined in Rule 1-02 of Regulation S-X promulgated under the Securities Act (each, a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57" w:lineRule="auto"/>
        <w:rPr>
          <w:sz w:val="20"/>
          <w:szCs w:val="20"/>
          <w:color w:val="auto"/>
        </w:rPr>
      </w:pPr>
      <w:r>
        <w:rPr>
          <w:rFonts w:ascii="Times New Roman" w:cs="Times New Roman" w:eastAsia="Times New Roman" w:hAnsi="Times New Roman"/>
          <w:sz w:val="22"/>
          <w:szCs w:val="22"/>
          <w:color w:val="auto"/>
        </w:rPr>
        <w:t>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82" w:lineRule="exact"/>
        <w:rPr>
          <w:sz w:val="20"/>
          <w:szCs w:val="20"/>
          <w:color w:val="auto"/>
        </w:rPr>
      </w:pPr>
    </w:p>
    <w:p>
      <w:pPr>
        <w:jc w:val="both"/>
        <w:ind w:firstLine="1304"/>
        <w:spacing w:after="0" w:line="250" w:lineRule="auto"/>
        <w:tabs>
          <w:tab w:leader="none" w:pos="176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Public Accounting Firm</w:t>
      </w:r>
      <w:r>
        <w:rPr>
          <w:rFonts w:ascii="Times New Roman" w:cs="Times New Roman" w:eastAsia="Times New Roman" w:hAnsi="Times New Roman"/>
          <w:sz w:val="22"/>
          <w:szCs w:val="22"/>
          <w:color w:val="auto"/>
        </w:rPr>
        <w:t>. BDO USA, P.C. (the “</w:t>
      </w:r>
      <w:r>
        <w:rPr>
          <w:rFonts w:ascii="Times New Roman" w:cs="Times New Roman" w:eastAsia="Times New Roman" w:hAnsi="Times New Roman"/>
          <w:sz w:val="22"/>
          <w:szCs w:val="22"/>
          <w:b w:val="1"/>
          <w:bCs w:val="1"/>
          <w:u w:val="single" w:color="auto"/>
          <w:color w:val="auto"/>
        </w:rPr>
        <w:t>Accountant</w:t>
      </w:r>
      <w:r>
        <w:rPr>
          <w:rFonts w:ascii="Times New Roman" w:cs="Times New Roman" w:eastAsia="Times New Roman" w:hAnsi="Times New Roman"/>
          <w:sz w:val="22"/>
          <w:szCs w:val="22"/>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with respect to the Company.</w:t>
      </w:r>
    </w:p>
    <w:p>
      <w:pPr>
        <w:spacing w:after="0" w:line="18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 of Agreements</w:t>
      </w:r>
      <w:r>
        <w:rPr>
          <w:rFonts w:ascii="Times New Roman" w:cs="Times New Roman" w:eastAsia="Times New Roman" w:hAnsi="Times New Roman"/>
          <w:sz w:val="22"/>
          <w:szCs w:val="22"/>
          <w:color w:val="auto"/>
        </w:rPr>
        <w:t>. To the Company’s knowledge,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firstLine="1304"/>
        <w:spacing w:after="0" w:line="266" w:lineRule="auto"/>
        <w:tabs>
          <w:tab w:leader="none" w:pos="179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 Except as set forth in the Registration Statement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if determined adversely to the Company or any Subsidiary, could reasonably be expected to have a Material Adverse Effect or materially and adversely affect the ability of the Company to perform is obligations under this Agreement; and, to the Company’s knowledge, no such actions, suits, proceedings, audits or investigations are threatened or contemplated by any Governmental Authority or threatened by others.</w:t>
      </w:r>
    </w:p>
    <w:p>
      <w:pPr>
        <w:spacing w:after="0" w:line="165" w:lineRule="exact"/>
        <w:rPr>
          <w:rFonts w:ascii="Times New Roman" w:cs="Times New Roman" w:eastAsia="Times New Roman" w:hAnsi="Times New Roman"/>
          <w:sz w:val="21"/>
          <w:szCs w:val="21"/>
          <w:color w:val="auto"/>
        </w:rPr>
      </w:pPr>
    </w:p>
    <w:p>
      <w:pPr>
        <w:jc w:val="both"/>
        <w:ind w:firstLine="1304"/>
        <w:spacing w:after="0" w:line="251" w:lineRule="auto"/>
        <w:tabs>
          <w:tab w:leader="none" w:pos="17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and Permits</w:t>
      </w:r>
      <w:r>
        <w:rPr>
          <w:rFonts w:ascii="Times New Roman" w:cs="Times New Roman" w:eastAsia="Times New Roman" w:hAnsi="Times New Roman"/>
          <w:sz w:val="22"/>
          <w:szCs w:val="22"/>
          <w:color w:val="auto"/>
        </w:rPr>
        <w:t>. Except as disclosed in the Registration Statement and the Prospectus,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 w:cs="Times New Roman" w:eastAsia="Times New Roman" w:hAnsi="Times New Roman"/>
          <w:sz w:val="22"/>
          <w:szCs w:val="22"/>
          <w:b w:val="1"/>
          <w:bCs w:val="1"/>
          <w:u w:val="single" w:color="auto"/>
          <w:color w:val="auto"/>
        </w:rPr>
        <w:t>FDA</w:t>
      </w:r>
      <w:r>
        <w:rPr>
          <w:rFonts w:ascii="Times New Roman" w:cs="Times New Roman" w:eastAsia="Times New Roman" w:hAnsi="Times New Roman"/>
          <w:sz w:val="22"/>
          <w:szCs w:val="22"/>
          <w:color w:val="auto"/>
        </w:rPr>
        <w:t>”), the United States Drug Enforcement Administration or any other foreign, federal, state,</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21"/>
          <w:szCs w:val="21"/>
          <w:color w:val="auto"/>
        </w:rPr>
        <w:t>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Times New Roman" w:cs="Times New Roman" w:eastAsia="Times New Roman" w:hAnsi="Times New Roman"/>
          <w:sz w:val="21"/>
          <w:szCs w:val="21"/>
          <w:b w:val="1"/>
          <w:bCs w:val="1"/>
          <w:u w:val="single" w:color="auto"/>
          <w:color w:val="auto"/>
        </w:rPr>
        <w:t>Permits</w:t>
      </w:r>
      <w:r>
        <w:rPr>
          <w:rFonts w:ascii="Times New Roman" w:cs="Times New Roman" w:eastAsia="Times New Roman" w:hAnsi="Times New Roman"/>
          <w:sz w:val="21"/>
          <w:szCs w:val="21"/>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be reasonably likely to result in a Material Adverse Effect, or has any reason to believe that any such license, certificate, permit or authorization will not be renewed in the ordinary course. To the extent required by applicable laws and regulations of the FDA, the Company or the applicable Subsidiary has submitted to the FDA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with respect to any such submissions.</w:t>
      </w:r>
    </w:p>
    <w:p>
      <w:pPr>
        <w:spacing w:after="0" w:line="180" w:lineRule="exact"/>
        <w:rPr>
          <w:sz w:val="20"/>
          <w:szCs w:val="20"/>
          <w:color w:val="auto"/>
        </w:rPr>
      </w:pPr>
    </w:p>
    <w:p>
      <w:pPr>
        <w:jc w:val="both"/>
        <w:ind w:firstLine="1304"/>
        <w:spacing w:after="0" w:line="247" w:lineRule="auto"/>
        <w:tabs>
          <w:tab w:leader="none" w:pos="192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Filings</w:t>
      </w:r>
      <w:r>
        <w:rPr>
          <w:rFonts w:ascii="Times New Roman" w:cs="Times New Roman" w:eastAsia="Times New Roman" w:hAnsi="Times New Roman"/>
          <w:sz w:val="22"/>
          <w:szCs w:val="22"/>
          <w:color w:val="auto"/>
        </w:rPr>
        <w:t>. Except as disclosed in the Registration Statement and the Prospectus, neither the Company nor any of its Subsidiaries has failed to file with the applicable Governmental Authorities (including, without limitation, the FDA, or any foreign, federal, state, provincial or local Governmental Authority performing functions similar to those performed by the FDA) any required filing, declaration, listing, registration, report or submission, except for such failures that, individually or in the aggregate, would not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 The Company has operated and currently is, in all material respects, in compliance with the United States Federal Food, Drug, and Cosmetic Act, all applicable rules and regulations of the FDA and other federal, state, local and foreign Governmental Authority exercising comparable authority. The Company has no knowledge of any studies, tests or trials not described in the Prospectus the results of which reasonably call into question in any material respect the results of the studies, tests and trials described in the Prospectus.</w:t>
      </w:r>
    </w:p>
    <w:p>
      <w:pPr>
        <w:spacing w:after="0" w:line="19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2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Except as disclosed in the Registration Statement and the Prospectus, to the Company’s knowledge,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2"/>
          <w:szCs w:val="22"/>
          <w:color w:val="auto"/>
        </w:rPr>
        <w:t>property (collectively, the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necessary for the conduct of their respective businesses as now conducted except to the extent that the failure to own, possess, license or otherwise hold adequate rights to use such Intellectual Property would not, individually or in the aggregate, reasonably be expected to have a Material Adverse Effect. Except as disclosed in the Registration Statement and the Prospectus (i) except pursuant to licenses granted by the Company, there are no material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material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Prospectus as being owned by or licensed to the Company; and (vii) the Company and its Subsidiaries are not in uncured breach of agreements pursuant to which Intellectual Property has been licensed to the Company or such Subsidiary, and to the Company’s knowledge, all such agreements are in full force and effect, except, in the case of any of clauses (i)-(vii) above, for any such infringement by third parties or any such pending or threatened suit, action, proceeding or claim as would not, individually or in the aggregate, reasonably be expected to result in a Material Adverse Effect.</w:t>
      </w:r>
    </w:p>
    <w:p>
      <w:pPr>
        <w:spacing w:after="0" w:line="201" w:lineRule="exact"/>
        <w:rPr>
          <w:sz w:val="20"/>
          <w:szCs w:val="20"/>
          <w:color w:val="auto"/>
        </w:rPr>
      </w:pPr>
    </w:p>
    <w:p>
      <w:pPr>
        <w:jc w:val="both"/>
        <w:ind w:firstLine="1304"/>
        <w:spacing w:after="0" w:line="247" w:lineRule="auto"/>
        <w:tabs>
          <w:tab w:leader="none" w:pos="17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Studies</w:t>
      </w:r>
      <w:r>
        <w:rPr>
          <w:rFonts w:ascii="Times New Roman" w:cs="Times New Roman" w:eastAsia="Times New Roman" w:hAnsi="Times New Roman"/>
          <w:sz w:val="22"/>
          <w:szCs w:val="22"/>
          <w:color w:val="auto"/>
        </w:rPr>
        <w:t>. The preclinical studies and tests and clinical trials described in the Prospectus were, and, if still pending, are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Prospectus are accurate and complete in all material respects; the Company is not aware of any tests, studies or trials not described in the Prospectus, the results of which reasonably call into question the results of the tests, studies and trials described in the Prospectus; and except as described in the Registration Statement or Prospectus, the Company has not received any written notice or correspondence from the FDA or any foreign, state or local Governmental Authority exercising comparable authority or any institutional review board or comparable authority requiring the termination, suspension, clinical hold or material modification of any tests, studies or trials.</w:t>
      </w:r>
    </w:p>
    <w:p>
      <w:pPr>
        <w:spacing w:after="0" w:line="19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At the time the Registration Statement was or will be originally declared effective, and at the time the Company’s most recent Annual Report on Form 10-K was filed with the Commission, beginning with the Annual Report on Form 10-K for the year ended December 31, 2024, the Company met or will meet the then applicable requirements for the use of Form S-3 under the Securities Act, including, but not limited to,</w:t>
      </w:r>
    </w:p>
    <w:p>
      <w:pPr>
        <w:sectPr>
          <w:pgSz w:w="11900" w:h="16838" w:orient="portrait"/>
          <w:cols w:equalWidth="0" w:num="1">
            <w:col w:w="11240"/>
          </w:cols>
          <w:pgMar w:left="320" w:top="1418" w:right="33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22"/>
          <w:szCs w:val="22"/>
          <w:color w:val="auto"/>
        </w:rPr>
        <w:t>General Instruction I.B.1. of Form S-3, except as set forth in the Registration Statement and in the Prospectus.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79" w:lineRule="exact"/>
        <w:rPr>
          <w:sz w:val="20"/>
          <w:szCs w:val="20"/>
          <w:color w:val="auto"/>
        </w:rPr>
      </w:pPr>
    </w:p>
    <w:p>
      <w:pPr>
        <w:jc w:val="both"/>
        <w:ind w:firstLine="1304"/>
        <w:spacing w:after="0" w:line="257" w:lineRule="auto"/>
        <w:tabs>
          <w:tab w:leader="none" w:pos="18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The information provided to the Agents by the Company, its counsel, and its officers and directors for purposes of the Agents’ compliance with applicable FINRA rules in connection with the offering of the Shares is true, complete, and correct and compliant with FINRA’s rules.</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Defaults</w:t>
      </w:r>
      <w:r>
        <w:rPr>
          <w:rFonts w:ascii="Times New Roman" w:cs="Times New Roman" w:eastAsia="Times New Roman" w:hAnsi="Times New Roman"/>
          <w:sz w:val="22"/>
          <w:szCs w:val="22"/>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Market Activities</w:t>
      </w:r>
      <w:r>
        <w:rPr>
          <w:rFonts w:ascii="Times New Roman" w:cs="Times New Roman" w:eastAsia="Times New Roman" w:hAnsi="Times New Roman"/>
          <w:sz w:val="21"/>
          <w:szCs w:val="21"/>
          <w:color w:val="auto"/>
        </w:rPr>
        <w:t>. Neither the Company, nor any of the Subsidiaries nor to the Company’s knowledge,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spacing w:after="0" w:line="176"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7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Broker/Dealer Relationships</w:t>
      </w:r>
      <w:r>
        <w:rPr>
          <w:rFonts w:ascii="Times New Roman" w:cs="Times New Roman" w:eastAsia="Times New Roman" w:hAnsi="Times New Roman"/>
          <w:sz w:val="22"/>
          <w:szCs w:val="22"/>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9" w:lineRule="exact"/>
        <w:rPr>
          <w:sz w:val="20"/>
          <w:szCs w:val="20"/>
          <w:color w:val="auto"/>
        </w:rPr>
      </w:pPr>
    </w:p>
    <w:p>
      <w:pPr>
        <w:ind w:firstLine="1304"/>
        <w:spacing w:after="0" w:line="284" w:lineRule="auto"/>
        <w:tabs>
          <w:tab w:leader="none" w:pos="18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the Agents or legal counsel for the Agents for any legal, tax or accounting advice in connection with the offering and sale of the Placement Shares.</w:t>
      </w:r>
    </w:p>
    <w:p>
      <w:pPr>
        <w:spacing w:after="0" w:line="14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1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material tax deficiency has been determined adversely to the Company or any of its Subsidiaries which has had, or would reasonably be</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57" w:lineRule="auto"/>
        <w:rPr>
          <w:sz w:val="20"/>
          <w:szCs w:val="20"/>
          <w:color w:val="auto"/>
        </w:rPr>
      </w:pPr>
      <w:r>
        <w:rPr>
          <w:rFonts w:ascii="Times New Roman" w:cs="Times New Roman" w:eastAsia="Times New Roman" w:hAnsi="Times New Roman"/>
          <w:sz w:val="22"/>
          <w:szCs w:val="22"/>
          <w:color w:val="auto"/>
        </w:rPr>
        <w:t>expected to have, individually or in the aggregate, a Material Adverse Effect. The Company has no knowledge of any federal, state or other governmental tax deficiency, penalty or assessment which has been or would reasonably be expected to be asserted against it which would have a Material Adverse Effect.</w:t>
      </w:r>
    </w:p>
    <w:p>
      <w:pPr>
        <w:spacing w:after="0" w:line="186" w:lineRule="exact"/>
        <w:rPr>
          <w:sz w:val="20"/>
          <w:szCs w:val="20"/>
          <w:color w:val="auto"/>
        </w:rPr>
      </w:pPr>
    </w:p>
    <w:p>
      <w:pPr>
        <w:jc w:val="both"/>
        <w:ind w:firstLine="1304"/>
        <w:spacing w:after="0" w:line="247" w:lineRule="auto"/>
        <w:tabs>
          <w:tab w:leader="none" w:pos="18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Real and Personal Property</w:t>
      </w:r>
      <w:r>
        <w:rPr>
          <w:rFonts w:ascii="Times New Roman" w:cs="Times New Roman" w:eastAsia="Times New Roman" w:hAnsi="Times New Roman"/>
          <w:sz w:val="22"/>
          <w:szCs w:val="22"/>
          <w:color w:val="auto"/>
        </w:rPr>
        <w:t>. Neither the Company nor its Subsidiaries own any real property. Except as set forth in the Registration Statement or the Prospectus, the Company and its Subsidiaries have good and valid title to all personal property described in the Registration Statement or Prospectus as being owned by them, in each case free and clear of all liens, encumbrances and claims, except those matters that (i) do not materially interfere with the use made and proposed to be made of such property by the Company and any of its Subsidiaries or (ii) would not reasonably be expected, individually or in the aggregate, to result in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result in a Material Adverse Effect.</w:t>
      </w:r>
    </w:p>
    <w:p>
      <w:pPr>
        <w:spacing w:after="0" w:line="19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8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Except as set forth in the Registration Statement and in the Prospectus, the Company and each of its Subsidiaries maintain systems of internal accounting controls designed to provide reasonable assurance that</w:t>
      </w:r>
    </w:p>
    <w:p>
      <w:pPr>
        <w:jc w:val="both"/>
        <w:ind w:firstLine="8"/>
        <w:spacing w:after="0" w:line="243" w:lineRule="auto"/>
        <w:tabs>
          <w:tab w:leader="none" w:pos="26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are executed in accordance with management’s general or specific authorizations; (ii) transactions are recorded as necessary to permit preparation of financial statements in conformity with GAAP and to maintain asset accountability;</w:t>
      </w:r>
    </w:p>
    <w:p>
      <w:pPr>
        <w:jc w:val="both"/>
        <w:ind w:firstLine="8"/>
        <w:spacing w:after="0" w:line="247" w:lineRule="auto"/>
        <w:tabs>
          <w:tab w:leader="none" w:pos="3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21"/>
          <w:szCs w:val="21"/>
          <w:color w:val="auto"/>
        </w:rPr>
        <w:t>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ended (such date, the “</w:t>
      </w:r>
      <w:r>
        <w:rPr>
          <w:rFonts w:ascii="Times New Roman" w:cs="Times New Roman" w:eastAsia="Times New Roman" w:hAnsi="Times New Roman"/>
          <w:sz w:val="21"/>
          <w:szCs w:val="21"/>
          <w:b w:val="1"/>
          <w:bCs w:val="1"/>
          <w:u w:val="single" w:color="auto"/>
          <w:color w:val="auto"/>
        </w:rPr>
        <w:t>Evaluation Date</w:t>
      </w:r>
      <w:r>
        <w:rPr>
          <w:rFonts w:ascii="Times New Roman" w:cs="Times New Roman" w:eastAsia="Times New Roman" w:hAnsi="Times New Roman"/>
          <w:sz w:val="21"/>
          <w:szCs w:val="21"/>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170" w:lineRule="exact"/>
        <w:rPr>
          <w:sz w:val="20"/>
          <w:szCs w:val="20"/>
          <w:color w:val="auto"/>
        </w:rPr>
      </w:pPr>
    </w:p>
    <w:p>
      <w:pPr>
        <w:jc w:val="both"/>
        <w:ind w:firstLine="1304"/>
        <w:spacing w:after="0" w:line="250" w:lineRule="auto"/>
        <w:tabs>
          <w:tab w:leader="none" w:pos="189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6"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1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Neither the Company nor any of the Subsidiaries has incurred any liability for any finder’s fees, brokerage commissions or similar payments in connection with the transactions herein contemplated, except as may otherwise exist with respect to the Agents pursuant to this Agreement.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206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Disputes</w:t>
      </w:r>
      <w:r>
        <w:rPr>
          <w:rFonts w:ascii="Times New Roman" w:cs="Times New Roman" w:eastAsia="Times New Roman" w:hAnsi="Times New Roman"/>
          <w:sz w:val="22"/>
          <w:szCs w:val="22"/>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80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 keeping and reporting requirements of the Currency and Foreign Transactions Reporting Act of 1970, as</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22"/>
          <w:szCs w:val="22"/>
          <w:color w:val="auto"/>
        </w:rPr>
        <w:t>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22"/>
          <w:szCs w:val="22"/>
          <w:b w:val="1"/>
          <w:bCs w:val="1"/>
          <w:u w:val="single" w:color="auto"/>
          <w:color w:val="auto"/>
        </w:rPr>
        <w:t>Money Laundering Laws</w:t>
      </w:r>
      <w:r>
        <w:rPr>
          <w:rFonts w:ascii="Times New Roman" w:cs="Times New Roman" w:eastAsia="Times New Roman" w:hAnsi="Times New Roman"/>
          <w:sz w:val="22"/>
          <w:szCs w:val="22"/>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179" w:lineRule="exact"/>
        <w:rPr>
          <w:sz w:val="20"/>
          <w:szCs w:val="20"/>
          <w:color w:val="auto"/>
        </w:rPr>
      </w:pPr>
    </w:p>
    <w:p>
      <w:pPr>
        <w:jc w:val="both"/>
        <w:ind w:firstLine="1304"/>
        <w:spacing w:after="0" w:line="250" w:lineRule="auto"/>
        <w:tabs>
          <w:tab w:leader="none" w:pos="189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Off-Balance Sheet Arrangements</w:t>
      </w:r>
      <w:r>
        <w:rPr>
          <w:rFonts w:ascii="Times New Roman" w:cs="Times New Roman" w:eastAsia="Times New Roman" w:hAnsi="Times New Roman"/>
          <w:sz w:val="22"/>
          <w:szCs w:val="22"/>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22"/>
          <w:szCs w:val="22"/>
          <w:b w:val="1"/>
          <w:bCs w:val="1"/>
          <w:u w:val="single" w:color="auto"/>
          <w:color w:val="auto"/>
        </w:rPr>
        <w:t>Off-Balance Sheet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Transaction</w:t>
      </w:r>
      <w:r>
        <w:rPr>
          <w:rFonts w:ascii="Times New Roman" w:cs="Times New Roman" w:eastAsia="Times New Roman" w:hAnsi="Times New Roman"/>
          <w:sz w:val="22"/>
          <w:szCs w:val="22"/>
          <w:color w:val="auto"/>
        </w:rPr>
        <w:t>”) that could reasonably be expected to affect materially the Company’s liquidity or the availability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Agreements</w:t>
      </w:r>
      <w:r>
        <w:rPr>
          <w:rFonts w:ascii="Times New Roman" w:cs="Times New Roman" w:eastAsia="Times New Roman" w:hAnsi="Times New Roman"/>
          <w:sz w:val="22"/>
          <w:szCs w:val="22"/>
          <w:color w:val="auto"/>
        </w:rPr>
        <w:t>. Except for that certain Open Market Sales Agreement, dated as of December 23, 2021, by and between the Company and Jefferies LLC (which is being terminated in connection with the entry into this Agreement), the Company is not a party to any agreement with an agent or underwriter for any other “at the market” or continuous equity transaction.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5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that would result in a material liability to the Company; and the fair market value of the assets of each such plan (excluding for these purposes accrued but unpaid contributions) exceeds the present value of all benefits accrued under such plan determined using reasonable actuarial assumptions, except where such failure would not reasonably be expected to result in a material liability to the Company.</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6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(a “</w:t>
      </w:r>
      <w:r>
        <w:rPr>
          <w:rFonts w:ascii="Times New Roman" w:cs="Times New Roman" w:eastAsia="Times New Roman" w:hAnsi="Times New Roman"/>
          <w:sz w:val="22"/>
          <w:szCs w:val="22"/>
          <w:b w:val="1"/>
          <w:bCs w:val="1"/>
          <w:u w:val="single" w:color="auto"/>
          <w:color w:val="auto"/>
        </w:rPr>
        <w:t>Forward-Looking Statement</w:t>
      </w:r>
      <w:r>
        <w:rPr>
          <w:rFonts w:ascii="Times New Roman" w:cs="Times New Roman" w:eastAsia="Times New Roman" w:hAnsi="Times New Roman"/>
          <w:sz w:val="22"/>
          <w:szCs w:val="22"/>
          <w:color w:val="auto"/>
        </w:rPr>
        <w:t>”) contained in the Registration Statement and the Prospectus has</w:t>
      </w:r>
    </w:p>
    <w:p>
      <w:pPr>
        <w:sectPr>
          <w:pgSz w:w="11900" w:h="16838" w:orient="portrait"/>
          <w:cols w:equalWidth="0" w:num="1">
            <w:col w:w="11240"/>
          </w:cols>
          <w:pgMar w:left="320" w:top="142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been made or reaffirmed without a reasonable basis or has been disclosed other than in good faith.</w:t>
      </w:r>
    </w:p>
    <w:p>
      <w:pPr>
        <w:spacing w:after="0" w:line="220" w:lineRule="exact"/>
        <w:rPr>
          <w:sz w:val="20"/>
          <w:szCs w:val="20"/>
          <w:color w:val="auto"/>
        </w:rPr>
      </w:pPr>
    </w:p>
    <w:p>
      <w:pPr>
        <w:jc w:val="both"/>
        <w:ind w:firstLine="1304"/>
        <w:spacing w:after="0" w:line="251" w:lineRule="auto"/>
        <w:tabs>
          <w:tab w:leader="none" w:pos="188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Purchases</w:t>
      </w:r>
      <w:r>
        <w:rPr>
          <w:rFonts w:ascii="Times New Roman" w:cs="Times New Roman" w:eastAsia="Times New Roman" w:hAnsi="Times New Roman"/>
          <w:sz w:val="22"/>
          <w:szCs w:val="22"/>
          <w:color w:val="auto"/>
        </w:rPr>
        <w:t xml:space="preserve">. The Company acknowledges and agrees that the Agents have informed the Company that each Agent may, to the extent permitted under the Securities Act and the Exchange Act, purchase and sell Common Stock for its own account while this Agreement is in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 no such purchase or sales shall take place by a Designated Agent while a Placement Notice is in effect (except to the extent a Designated Agent may engage in sales of Placement Shares purchased or deemed purchased from the Company as a “riskless principal” or in a similar capacity) and (ii) the Company shall not be deemed to have authorized or consented to any such purchases or sales by such Agent.</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Rules</w:t>
      </w:r>
      <w:r>
        <w:rPr>
          <w:rFonts w:ascii="Times New Roman" w:cs="Times New Roman" w:eastAsia="Times New Roman" w:hAnsi="Times New Roman"/>
          <w:sz w:val="22"/>
          <w:szCs w:val="22"/>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2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p>
      <w:pPr>
        <w:spacing w:after="0" w:line="17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2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Improper Practices</w:t>
      </w:r>
      <w:r>
        <w:rPr>
          <w:rFonts w:ascii="Times New Roman" w:cs="Times New Roman" w:eastAsia="Times New Roman" w:hAnsi="Times New Roman"/>
          <w:sz w:val="21"/>
          <w:szCs w:val="21"/>
          <w:color w:val="auto"/>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to the Company’s knowledge, any affiliate of any of them, on the one hand, and the directors, officers and stockholders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50" w:lineRule="auto"/>
        <w:rPr>
          <w:sz w:val="20"/>
          <w:szCs w:val="20"/>
          <w:color w:val="auto"/>
        </w:rPr>
      </w:pPr>
      <w:r>
        <w:rPr>
          <w:rFonts w:ascii="Times New Roman" w:cs="Times New Roman" w:eastAsia="Times New Roman" w:hAnsi="Times New Roman"/>
          <w:sz w:val="22"/>
          <w:szCs w:val="22"/>
          <w:color w:val="auto"/>
        </w:rPr>
        <w:t>publication to write or publish favorable information about the Company or any Subsidiary or any of their respective products or services, and, (vi)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cs="Times New Roman" w:eastAsia="Times New Roman" w:hAnsi="Times New Roman"/>
          <w:sz w:val="22"/>
          <w:szCs w:val="22"/>
          <w:b w:val="1"/>
          <w:bCs w:val="1"/>
          <w:u w:val="single" w:color="auto"/>
          <w:color w:val="auto"/>
        </w:rPr>
        <w:t>Anti-Corruption Laws</w:t>
      </w:r>
      <w:r>
        <w:rPr>
          <w:rFonts w:ascii="Times New Roman" w:cs="Times New Roman" w:eastAsia="Times New Roman" w:hAnsi="Times New Roman"/>
          <w:sz w:val="22"/>
          <w:szCs w:val="22"/>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180" w:lineRule="exact"/>
        <w:rPr>
          <w:sz w:val="20"/>
          <w:szCs w:val="20"/>
          <w:color w:val="auto"/>
        </w:rPr>
      </w:pPr>
    </w:p>
    <w:p>
      <w:pPr>
        <w:jc w:val="both"/>
        <w:ind w:firstLine="1304"/>
        <w:spacing w:after="0" w:line="257" w:lineRule="auto"/>
        <w:tabs>
          <w:tab w:leader="none" w:pos="182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Under the Securities Act</w:t>
      </w:r>
      <w:r>
        <w:rPr>
          <w:rFonts w:ascii="Times New Roman" w:cs="Times New Roman" w:eastAsia="Times New Roman" w:hAnsi="Times New Roman"/>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7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 in an Issuer Free Writing Prospectus</w:t>
      </w:r>
      <w:r>
        <w:rPr>
          <w:rFonts w:ascii="Times New Roman" w:cs="Times New Roman" w:eastAsia="Times New Roman" w:hAnsi="Times New Roman"/>
          <w:sz w:val="22"/>
          <w:szCs w:val="22"/>
          <w:color w:val="auto"/>
        </w:rPr>
        <w:t xml:space="preserve">. Each Issuer Free Writing Prospectus, as of its issue date and as of each Applicable Time (as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Agents specifically for use therein.</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96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 The Company represents that, neither the Company nor any of its Subsidiaries (collectively, the “</w:t>
      </w:r>
      <w:r>
        <w:rPr>
          <w:rFonts w:ascii="Times New Roman" w:cs="Times New Roman" w:eastAsia="Times New Roman" w:hAnsi="Times New Roman"/>
          <w:sz w:val="22"/>
          <w:szCs w:val="22"/>
          <w:b w:val="1"/>
          <w:bCs w:val="1"/>
          <w:u w:val="single" w:color="auto"/>
          <w:color w:val="auto"/>
        </w:rPr>
        <w:t>Entity</w:t>
      </w:r>
      <w:r>
        <w:rPr>
          <w:rFonts w:ascii="Times New Roman" w:cs="Times New Roman" w:eastAsia="Times New Roman" w:hAnsi="Times New Roman"/>
          <w:sz w:val="22"/>
          <w:szCs w:val="22"/>
          <w:color w:val="auto"/>
        </w:rPr>
        <w:t>”) or any director, officer, employee, agent, affiliate</w:t>
      </w:r>
    </w:p>
    <w:p>
      <w:pPr>
        <w:sectPr>
          <w:pgSz w:w="11900" w:h="16838" w:orient="portrait"/>
          <w:cols w:equalWidth="0" w:num="1">
            <w:col w:w="11240"/>
          </w:cols>
          <w:pgMar w:left="320" w:top="1422" w:right="339" w:bottom="1440" w:gutter="0" w:footer="0" w:header="0"/>
        </w:sectPr>
      </w:pPr>
    </w:p>
    <w:bookmarkStart w:id="86" w:name="page87"/>
    <w:bookmarkEnd w:id="86"/>
    <w:p>
      <w:pPr>
        <w:spacing w:after="0" w:line="275" w:lineRule="auto"/>
        <w:rPr>
          <w:sz w:val="20"/>
          <w:szCs w:val="20"/>
          <w:color w:val="auto"/>
        </w:rPr>
      </w:pPr>
      <w:r>
        <w:rPr>
          <w:rFonts w:ascii="Times New Roman" w:cs="Times New Roman" w:eastAsia="Times New Roman" w:hAnsi="Times New Roman"/>
          <w:sz w:val="22"/>
          <w:szCs w:val="22"/>
          <w:color w:val="auto"/>
        </w:rPr>
        <w:t>or representative of the Entity, is a government, individual, or entity (in this paragraph (vv),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that is, or is owned or controlled by a Person that is:</w:t>
      </w:r>
    </w:p>
    <w:p>
      <w:pPr>
        <w:spacing w:after="0" w:line="153" w:lineRule="exact"/>
        <w:rPr>
          <w:sz w:val="20"/>
          <w:szCs w:val="20"/>
          <w:color w:val="auto"/>
        </w:rPr>
      </w:pPr>
    </w:p>
    <w:p>
      <w:pPr>
        <w:jc w:val="both"/>
        <w:ind w:left="1300" w:firstLine="652"/>
        <w:spacing w:after="0" w:line="253" w:lineRule="auto"/>
        <w:tabs>
          <w:tab w:leader="none" w:pos="237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Treasury’s Office of Foreign Assets Control (“</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nor</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3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Cuba, Iran, North Korea, Syria, the so-called Donetsk People’s Republic, the so-called Luhansk People’s Republic and the Crimea Region of the Ukraine) (the “</w:t>
      </w:r>
      <w:r>
        <w:rPr>
          <w:rFonts w:ascii="Times New Roman" w:cs="Times New Roman" w:eastAsia="Times New Roman" w:hAnsi="Times New Roman"/>
          <w:sz w:val="22"/>
          <w:szCs w:val="22"/>
          <w:b w:val="1"/>
          <w:bCs w:val="1"/>
          <w:color w:val="auto"/>
        </w:rPr>
        <w:t>Sanctioned Countries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260" w:right="20" w:firstLine="1044"/>
        <w:spacing w:after="0" w:line="271" w:lineRule="auto"/>
        <w:tabs>
          <w:tab w:leader="none" w:pos="179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it will not, directly or indirectly, use the proceeds of the offering, or lend, contribute or otherwise make available such proceeds to any subsidiary, joint venture partner or other Person:</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36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 is a Sanctioned Country; or</w:t>
      </w:r>
    </w:p>
    <w:p>
      <w:pPr>
        <w:spacing w:after="0" w:line="143"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37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157" w:lineRule="exact"/>
        <w:rPr>
          <w:rFonts w:ascii="Times New Roman" w:cs="Times New Roman" w:eastAsia="Times New Roman" w:hAnsi="Times New Roman"/>
          <w:sz w:val="22"/>
          <w:szCs w:val="22"/>
          <w:color w:val="auto"/>
        </w:rPr>
      </w:pPr>
    </w:p>
    <w:p>
      <w:pPr>
        <w:jc w:val="both"/>
        <w:ind w:left="260" w:right="20" w:firstLine="1044"/>
        <w:spacing w:after="0" w:line="256" w:lineRule="auto"/>
        <w:tabs>
          <w:tab w:leader="none" w:pos="20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except as detailed in the Registration Statement and the Prospectus, for the past 5 years, it has not engaged in, is not now engaging in, and will not engage in, any dealings or transactions with any Person, or in any country or territory, that at the time of the dealing or transaction is or was the subject of Sanctions or is or was a Sanctioned Country.</w:t>
      </w:r>
    </w:p>
    <w:p>
      <w:pPr>
        <w:spacing w:after="0" w:line="176" w:lineRule="exact"/>
        <w:rPr>
          <w:sz w:val="20"/>
          <w:szCs w:val="20"/>
          <w:color w:val="auto"/>
        </w:rPr>
      </w:pPr>
    </w:p>
    <w:p>
      <w:pPr>
        <w:jc w:val="both"/>
        <w:ind w:firstLine="1304"/>
        <w:spacing w:after="0" w:line="256" w:lineRule="auto"/>
        <w:tabs>
          <w:tab w:leader="none" w:pos="199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Transfer Taxes</w:t>
      </w:r>
      <w:r>
        <w:rPr>
          <w:rFonts w:ascii="Times New Roman" w:cs="Times New Roman" w:eastAsia="Times New Roman" w:hAnsi="Times New Roman"/>
          <w:sz w:val="22"/>
          <w:szCs w:val="22"/>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except as could not, individually or in the aggregate, reasonably be expected to result in a</w:t>
      </w:r>
    </w:p>
    <w:p>
      <w:pPr>
        <w:sectPr>
          <w:pgSz w:w="11900" w:h="16838" w:orient="portrait"/>
          <w:cols w:equalWidth="0" w:num="1">
            <w:col w:w="11240"/>
          </w:cols>
          <w:pgMar w:left="320" w:top="1418" w:right="339" w:bottom="1440" w:gutter="0" w:footer="0" w:header="0"/>
        </w:sectPr>
      </w:pPr>
    </w:p>
    <w:bookmarkStart w:id="87" w:name="page88"/>
    <w:bookmarkEnd w:id="87"/>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Material Adverse Effect; (B) has not received any FDA Form 483, notice of adverse finding, warning letter, untitled letter or other correspondence or notice from the FDA or any an Governmental Authority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22"/>
          <w:szCs w:val="22"/>
          <w:b w:val="1"/>
          <w:bCs w:val="1"/>
          <w:color w:val="auto"/>
        </w:rPr>
        <w:t>Authorizations</w:t>
      </w:r>
      <w:r>
        <w:rPr>
          <w:rFonts w:ascii="Times New Roman" w:cs="Times New Roman" w:eastAsia="Times New Roman" w:hAnsi="Times New Roman"/>
          <w:sz w:val="22"/>
          <w:szCs w:val="22"/>
          <w:color w:val="auto"/>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97" w:lineRule="exact"/>
        <w:rPr>
          <w:sz w:val="20"/>
          <w:szCs w:val="20"/>
          <w:color w:val="auto"/>
        </w:rPr>
      </w:pPr>
    </w:p>
    <w:p>
      <w:pPr>
        <w:jc w:val="both"/>
        <w:ind w:firstLine="1304"/>
        <w:spacing w:after="0" w:line="252" w:lineRule="auto"/>
        <w:tabs>
          <w:tab w:leader="none" w:pos="192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The statistical, demographic and market-related data included in the Registration Statement and Prospectus are based on or derived from sources that the Company believes to be reliable and accurate in all material respects or represent the Company’s good faith estimates that are made on the basis of data derived from such sources.</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6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Cybersecurity</w:t>
      </w:r>
      <w:r>
        <w:rPr>
          <w:rFonts w:ascii="Times New Roman" w:cs="Times New Roman" w:eastAsia="Times New Roman" w:hAnsi="Times New Roman"/>
          <w:sz w:val="22"/>
          <w:szCs w:val="22"/>
          <w:color w:val="auto"/>
        </w:rPr>
        <w:t>. Except as set forth in the Registration Statement and in the Prospectus,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2"/>
          <w:szCs w:val="22"/>
          <w:b w:val="1"/>
          <w:bCs w:val="1"/>
          <w:u w:val="single" w:color="auto"/>
          <w:color w:val="auto"/>
        </w:rPr>
        <w:t>IT Systems</w:t>
      </w:r>
      <w:r>
        <w:rPr>
          <w:rFonts w:ascii="Times New Roman" w:cs="Times New Roman" w:eastAsia="Times New Roman" w:hAnsi="Times New Roman"/>
          <w:sz w:val="22"/>
          <w:szCs w:val="22"/>
          <w:color w:val="auto"/>
        </w:rPr>
        <w:t>”) are reasonably adequate for, and operate and perform in all material respects as required in connection with the operation of the business of the Company as currently conducted and, to the Company’s knowledge, are free and clear of all material bugs, errors, defects, Trojan horses, time bombs, malware and other corruptants. The Company and its subsidiaries have implemented and maintained commercially reasonable physical, technical and administrative controls, policies, procedures, and safeguards designed to maintain and protect their material confidential information and the integrity, continuous operation, redundancy and security of their IT Systems as well confidential information (“</w:t>
      </w:r>
      <w:r>
        <w:rPr>
          <w:rFonts w:ascii="Times New Roman" w:cs="Times New Roman" w:eastAsia="Times New Roman" w:hAnsi="Times New Roman"/>
          <w:sz w:val="22"/>
          <w:szCs w:val="22"/>
          <w:b w:val="1"/>
          <w:bCs w:val="1"/>
          <w:u w:val="single" w:color="auto"/>
          <w:color w:val="auto"/>
        </w:rPr>
        <w:t>Confidential Data</w:t>
      </w:r>
      <w:r>
        <w:rPr>
          <w:rFonts w:ascii="Times New Roman" w:cs="Times New Roman" w:eastAsia="Times New Roman" w:hAnsi="Times New Roman"/>
          <w:sz w:val="22"/>
          <w:szCs w:val="22"/>
          <w:color w:val="auto"/>
        </w:rPr>
        <w:t>”) and “Personal Data” (defined below) used in connection with their businesses. “Personal Data” means (i) a natural person’s name, street address, telephone number, e-mail address, photograph,</w:t>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60" w:lineRule="auto"/>
        <w:rPr>
          <w:sz w:val="20"/>
          <w:szCs w:val="20"/>
          <w:color w:val="auto"/>
        </w:rPr>
      </w:pPr>
      <w:r>
        <w:rPr>
          <w:rFonts w:ascii="Times New Roman" w:cs="Times New Roman" w:eastAsia="Times New Roman" w:hAnsi="Times New Roman"/>
          <w:sz w:val="21"/>
          <w:szCs w:val="21"/>
          <w:color w:val="auto"/>
        </w:rPr>
        <w:t>social security number or tax identification number, driver’s license number, passport number, credit card number, bank information, or customer or account number, (ii) any information which would qualify as “personally identifying information” and is governed under the Federal Trade Commission Act, as amended; (iii) “personal data” as defined and governed by the GDPR; (iv) any information which would qualify as “protected health information” and is governed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1"/>
          <w:szCs w:val="21"/>
          <w:b w:val="1"/>
          <w:bCs w:val="1"/>
          <w:u w:val="single" w:color="auto"/>
          <w:color w:val="auto"/>
        </w:rPr>
        <w:t>HIPAA</w:t>
      </w:r>
      <w:r>
        <w:rPr>
          <w:rFonts w:ascii="Times New Roman" w:cs="Times New Roman" w:eastAsia="Times New Roman" w:hAnsi="Times New Roman"/>
          <w:sz w:val="21"/>
          <w:szCs w:val="21"/>
          <w:color w:val="auto"/>
        </w:rPr>
        <w:t>”); (v) any “personal information” as defined and governed by the California Consumer Privacy Act (“</w:t>
      </w:r>
      <w:r>
        <w:rPr>
          <w:rFonts w:ascii="Times New Roman" w:cs="Times New Roman" w:eastAsia="Times New Roman" w:hAnsi="Times New Roman"/>
          <w:sz w:val="21"/>
          <w:szCs w:val="21"/>
          <w:b w:val="1"/>
          <w:bCs w:val="1"/>
          <w:u w:val="single" w:color="auto"/>
          <w:color w:val="auto"/>
        </w:rPr>
        <w:t>CCPA</w:t>
      </w:r>
      <w:r>
        <w:rPr>
          <w:rFonts w:ascii="Times New Roman" w:cs="Times New Roman" w:eastAsia="Times New Roman" w:hAnsi="Times New Roman"/>
          <w:sz w:val="21"/>
          <w:szCs w:val="21"/>
          <w:color w:val="auto"/>
        </w:rPr>
        <w:t>”); and (vi) any other piece of information that relates to an identified natural person and governed by applicable laws. To the Company’s knowledge, there have been no breaches or unauthorized uses of or accesses to same, except for those that have been remedied without material cost or liability or the duty to notify any other person under applicable laws. The Company and its subsidiaries are presently in material compliance with all applicable (i) laws or statutes and all judgments, orders, rules and regulations of any court or arbitrator or governmental or regulatory authority, (ii) written internal policies and (iii) legally binding contractual obligations, in each case (i) through (iii) to the extent governing the privacy and security of the Company and its Subsidiaries’ IT Systems, Confidential Data, and Personal Data and to the protection of such IT Systems, Confidential Data, and Personal Data from unauthorized use, access, misappropriation or modification.</w:t>
      </w:r>
    </w:p>
    <w:p>
      <w:pPr>
        <w:spacing w:after="0" w:line="185" w:lineRule="exact"/>
        <w:rPr>
          <w:sz w:val="20"/>
          <w:szCs w:val="20"/>
          <w:color w:val="auto"/>
        </w:rPr>
      </w:pPr>
    </w:p>
    <w:p>
      <w:pPr>
        <w:jc w:val="both"/>
        <w:ind w:firstLine="1304"/>
        <w:spacing w:after="0" w:line="247" w:lineRule="auto"/>
        <w:tabs>
          <w:tab w:leader="none" w:pos="213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Data Privacy Laws</w:t>
      </w:r>
      <w:r>
        <w:rPr>
          <w:rFonts w:ascii="Times New Roman" w:cs="Times New Roman" w:eastAsia="Times New Roman" w:hAnsi="Times New Roman"/>
          <w:sz w:val="22"/>
          <w:szCs w:val="22"/>
          <w:color w:val="auto"/>
        </w:rPr>
        <w:t>. Except as set forth in the Registration Statement and in the Prospectus, the Company and its subsidiaries are, and at all prior times in the past three (3) years were, in material compliance with all applicable state and federal data privacy and security laws and regulations, including without limitation, to the extent applicable to the Company and its subsidiaries, HIPAA, CCPA, and the European Union General Data Protection Regulation (“</w:t>
      </w:r>
      <w:r>
        <w:rPr>
          <w:rFonts w:ascii="Times New Roman" w:cs="Times New Roman" w:eastAsia="Times New Roman" w:hAnsi="Times New Roman"/>
          <w:sz w:val="22"/>
          <w:szCs w:val="22"/>
          <w:b w:val="1"/>
          <w:bCs w:val="1"/>
          <w:u w:val="single" w:color="auto"/>
          <w:color w:val="auto"/>
        </w:rPr>
        <w:t>GDPR</w:t>
      </w:r>
      <w:r>
        <w:rPr>
          <w:rFonts w:ascii="Times New Roman" w:cs="Times New Roman" w:eastAsia="Times New Roman" w:hAnsi="Times New Roman"/>
          <w:sz w:val="22"/>
          <w:szCs w:val="22"/>
          <w:color w:val="auto"/>
        </w:rPr>
        <w:t>”) (EU 2016/679) (collectively, the “</w:t>
      </w:r>
      <w:r>
        <w:rPr>
          <w:rFonts w:ascii="Times New Roman" w:cs="Times New Roman" w:eastAsia="Times New Roman" w:hAnsi="Times New Roman"/>
          <w:sz w:val="22"/>
          <w:szCs w:val="22"/>
          <w:b w:val="1"/>
          <w:bCs w:val="1"/>
          <w:u w:val="single" w:color="auto"/>
          <w:color w:val="auto"/>
        </w:rPr>
        <w:t>Privacy Laws</w:t>
      </w:r>
      <w:r>
        <w:rPr>
          <w:rFonts w:ascii="Times New Roman" w:cs="Times New Roman" w:eastAsia="Times New Roman" w:hAnsi="Times New Roman"/>
          <w:sz w:val="22"/>
          <w:szCs w:val="22"/>
          <w:color w:val="auto"/>
        </w:rPr>
        <w:t>”). The Company has in place, materially complies with, and takes commercially reasonable steps designed to comply in all material respects with its written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22"/>
          <w:szCs w:val="22"/>
          <w:b w:val="1"/>
          <w:bCs w:val="1"/>
          <w:u w:val="single" w:color="auto"/>
          <w:color w:val="auto"/>
        </w:rPr>
        <w:t>Policies</w:t>
      </w:r>
      <w:r>
        <w:rPr>
          <w:rFonts w:ascii="Times New Roman" w:cs="Times New Roman" w:eastAsia="Times New Roman" w:hAnsi="Times New Roman"/>
          <w:sz w:val="22"/>
          <w:szCs w:val="22"/>
          <w:color w:val="auto"/>
        </w:rPr>
        <w:t>”). Except as would not reasonably be expected to result in liability material to the Company, the Company has at all times in the past three (3) years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Neither the Company nor any subsidiary has received written notice of any actual material liability under or relating to any actual material violation of any governing Privacy Laws.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ectPr>
          <w:pgSz w:w="11900" w:h="16838" w:orient="portrait"/>
          <w:cols w:equalWidth="0" w:num="1">
            <w:col w:w="11240"/>
          </w:cols>
          <w:pgMar w:left="320" w:top="1422" w:right="339" w:bottom="1440" w:gutter="0" w:footer="0" w:header="0"/>
        </w:sectPr>
      </w:pPr>
    </w:p>
    <w:bookmarkStart w:id="89" w:name="page90"/>
    <w:bookmarkEnd w:id="89"/>
    <w:p>
      <w:pPr>
        <w:ind w:left="384" w:hanging="384"/>
        <w:spacing w:after="0"/>
        <w:tabs>
          <w:tab w:leader="none" w:pos="3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each Agent that: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46" w:lineRule="auto"/>
        <w:tabs>
          <w:tab w:leader="none" w:pos="119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Amendments</w:t>
      </w:r>
      <w:r>
        <w:rPr>
          <w:rFonts w:ascii="Times New Roman" w:cs="Times New Roman" w:eastAsia="Times New Roman" w:hAnsi="Times New Roman"/>
          <w:sz w:val="22"/>
          <w:szCs w:val="22"/>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only remedy the Agents shall have with respect to the failure by the Company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Agents within a reasonable period of time before the filing and the Agents have not objected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the Agents to make such objection shall not relieve the Company of any obligation or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hereunder, or affect the Agents’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 only remedy the Agents shall have with respect to the failure by the Company to obtain such consent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based on the Company’s reasonable opinion or reasonable objections, shall be made exclusively by the Company).</w:t>
      </w:r>
    </w:p>
    <w:p>
      <w:pPr>
        <w:spacing w:after="0" w:line="207" w:lineRule="exact"/>
        <w:rPr>
          <w:rFonts w:ascii="Times New Roman" w:cs="Times New Roman" w:eastAsia="Times New Roman" w:hAnsi="Times New Roman"/>
          <w:sz w:val="22"/>
          <w:szCs w:val="22"/>
          <w:color w:val="auto"/>
        </w:rPr>
      </w:pPr>
    </w:p>
    <w:p>
      <w:pPr>
        <w:jc w:val="both"/>
        <w:ind w:left="-656" w:firstLine="1304"/>
        <w:spacing w:after="0" w:line="256" w:lineRule="auto"/>
        <w:tabs>
          <w:tab w:leader="none" w:pos="110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w:t>
      </w:r>
    </w:p>
    <w:p>
      <w:pPr>
        <w:sectPr>
          <w:pgSz w:w="11900" w:h="16838" w:orient="portrait"/>
          <w:cols w:equalWidth="0" w:num="1">
            <w:col w:w="10584"/>
          </w:cols>
          <w:pgMar w:left="976" w:top="1422"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22"/>
          <w:szCs w:val="22"/>
          <w:color w:val="auto"/>
        </w:rPr>
        <w:t>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79" w:lineRule="exact"/>
        <w:rPr>
          <w:sz w:val="20"/>
          <w:szCs w:val="20"/>
          <w:color w:val="auto"/>
        </w:rPr>
      </w:pPr>
    </w:p>
    <w:p>
      <w:pPr>
        <w:jc w:val="both"/>
        <w:ind w:firstLine="1304"/>
        <w:spacing w:after="0" w:line="260" w:lineRule="auto"/>
        <w:tabs>
          <w:tab w:leader="none" w:pos="19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Prospectus; Subsequent Changes</w:t>
      </w:r>
      <w:r>
        <w:rPr>
          <w:rFonts w:ascii="Times New Roman" w:cs="Times New Roman" w:eastAsia="Times New Roman" w:hAnsi="Times New Roman"/>
          <w:sz w:val="21"/>
          <w:szCs w:val="21"/>
          <w:color w:val="auto"/>
        </w:rPr>
        <w:t>.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Agents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79" w:lineRule="exact"/>
        <w:rPr>
          <w:rFonts w:ascii="Times New Roman" w:cs="Times New Roman" w:eastAsia="Times New Roman" w:hAnsi="Times New Roman"/>
          <w:sz w:val="21"/>
          <w:szCs w:val="21"/>
          <w:color w:val="auto"/>
        </w:rPr>
      </w:pPr>
    </w:p>
    <w:p>
      <w:pPr>
        <w:ind w:firstLine="1304"/>
        <w:spacing w:after="0" w:line="271" w:lineRule="auto"/>
        <w:tabs>
          <w:tab w:leader="none" w:pos="189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Prior to the date of the first Placement Notice, the Company will use its commercially reasonable efforts to cause the Placement Shares to be listed on the Exchange.</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furnish any document (other than the Prospectus) to the Agents to the extent such document is available on EDGAR.</w:t>
      </w:r>
    </w:p>
    <w:p>
      <w:pPr>
        <w:sectPr>
          <w:pgSz w:w="11900" w:h="16838" w:orient="portrait"/>
          <w:cols w:equalWidth="0" w:num="1">
            <w:col w:w="11240"/>
          </w:cols>
          <w:pgMar w:left="320" w:top="1422" w:right="339" w:bottom="1440" w:gutter="0" w:footer="0" w:header="0"/>
        </w:sectPr>
      </w:pPr>
    </w:p>
    <w:bookmarkStart w:id="91" w:name="page92"/>
    <w:bookmarkEnd w:id="91"/>
    <w:p>
      <w:pPr>
        <w:jc w:val="both"/>
        <w:ind w:left="-8" w:firstLine="1304"/>
        <w:spacing w:after="0" w:line="272" w:lineRule="auto"/>
        <w:tabs>
          <w:tab w:leader="none" w:pos="1733"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Statement</w:t>
      </w:r>
      <w:r>
        <w:rPr>
          <w:rFonts w:ascii="Times New Roman" w:cs="Times New Roman" w:eastAsia="Times New Roman" w:hAnsi="Times New Roman"/>
          <w:sz w:val="21"/>
          <w:szCs w:val="21"/>
          <w:color w:val="auto"/>
        </w:rPr>
        <w:t xml:space="preserve">.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Company will be deemed to have furnished such statement to its security holders to the extent it is available on EDGAR.</w:t>
      </w:r>
    </w:p>
    <w:p>
      <w:pPr>
        <w:spacing w:after="0" w:line="160" w:lineRule="exact"/>
        <w:rPr>
          <w:rFonts w:ascii="Times New Roman" w:cs="Times New Roman" w:eastAsia="Times New Roman" w:hAnsi="Times New Roman"/>
          <w:sz w:val="21"/>
          <w:szCs w:val="21"/>
          <w:color w:val="auto"/>
        </w:rPr>
      </w:pPr>
    </w:p>
    <w:p>
      <w:pPr>
        <w:ind w:left="-8" w:firstLine="1304"/>
        <w:spacing w:after="0" w:line="271" w:lineRule="auto"/>
        <w:tabs>
          <w:tab w:leader="none" w:pos="186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157" w:lineRule="exact"/>
        <w:rPr>
          <w:rFonts w:ascii="Times New Roman" w:cs="Times New Roman" w:eastAsia="Times New Roman" w:hAnsi="Times New Roman"/>
          <w:sz w:val="22"/>
          <w:szCs w:val="22"/>
          <w:color w:val="auto"/>
        </w:rPr>
      </w:pPr>
    </w:p>
    <w:p>
      <w:pPr>
        <w:jc w:val="both"/>
        <w:ind w:left="-8" w:firstLine="1304"/>
        <w:spacing w:after="0" w:line="247" w:lineRule="auto"/>
        <w:tabs>
          <w:tab w:leader="none" w:pos="1823"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Other Sales</w:t>
      </w:r>
      <w:r>
        <w:rPr>
          <w:rFonts w:ascii="Times New Roman" w:cs="Times New Roman" w:eastAsia="Times New Roman" w:hAnsi="Times New Roman"/>
          <w:sz w:val="21"/>
          <w:szCs w:val="21"/>
          <w:color w:val="auto"/>
        </w:rPr>
        <w:t>.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Trading Day immediately prior to the date on which any Placement Notice is delivered to Agents hereunder and ending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(60th) day immediately following the termination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restrictions will not be required in connection with the Company’s issuance or sale of</w:t>
      </w:r>
    </w:p>
    <w:p>
      <w:pPr>
        <w:spacing w:after="0" w:line="4" w:lineRule="exact"/>
        <w:rPr>
          <w:rFonts w:ascii="Times New Roman" w:cs="Times New Roman" w:eastAsia="Times New Roman" w:hAnsi="Times New Roman"/>
          <w:sz w:val="21"/>
          <w:szCs w:val="21"/>
          <w:color w:val="auto"/>
        </w:rPr>
      </w:pPr>
    </w:p>
    <w:p>
      <w:pPr>
        <w:jc w:val="both"/>
        <w:ind w:left="-8" w:firstLine="8"/>
        <w:spacing w:after="0" w:line="247" w:lineRule="auto"/>
        <w:tabs>
          <w:tab w:leader="none" w:pos="27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options to purchase, or rights to acquire, Common Stock or Common Stock issuable upon the exercise or vesting of options or rights to acquire Common Stock,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Agents and (iii) Common Stock or securities convertible into or exchangeable for shares of Common Stock as consideration for mergers, acquisitions, other business combinations or research, collaboration, technology license, development, marketing or other similar agreements or strategic partnerships or strategic alliances occurring after the date of this Agreement which are not issued for capital raising purposes.</w:t>
      </w:r>
    </w:p>
    <w:p>
      <w:pPr>
        <w:spacing w:after="0" w:line="184" w:lineRule="exact"/>
        <w:rPr>
          <w:rFonts w:ascii="Times New Roman" w:cs="Times New Roman" w:eastAsia="Times New Roman" w:hAnsi="Times New Roman"/>
          <w:sz w:val="22"/>
          <w:szCs w:val="22"/>
          <w:color w:val="auto"/>
        </w:rPr>
      </w:pPr>
    </w:p>
    <w:p>
      <w:pPr>
        <w:jc w:val="both"/>
        <w:ind w:left="-8" w:firstLine="1304"/>
        <w:spacing w:after="0" w:line="256" w:lineRule="auto"/>
        <w:tabs>
          <w:tab w:leader="none" w:pos="170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ectPr>
          <w:pgSz w:w="11900" w:h="16838" w:orient="portrait"/>
          <w:cols w:equalWidth="0" w:num="1">
            <w:col w:w="11232"/>
          </w:cols>
          <w:pgMar w:left="328" w:top="1422" w:right="339" w:bottom="1440" w:gutter="0" w:footer="0" w:header="0"/>
        </w:sectPr>
      </w:pPr>
    </w:p>
    <w:bookmarkStart w:id="92" w:name="page93"/>
    <w:bookmarkEnd w:id="92"/>
    <w:p>
      <w:pPr>
        <w:jc w:val="both"/>
        <w:ind w:firstLine="1304"/>
        <w:spacing w:after="0" w:line="256" w:lineRule="auto"/>
        <w:tabs>
          <w:tab w:leader="none" w:pos="193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reasonable due diligence review conducted by the Agents or their respective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7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3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Filings Relating to Placement of Placement Shares</w:t>
      </w:r>
      <w:r>
        <w:rPr>
          <w:rFonts w:ascii="Times New Roman" w:cs="Times New Roman" w:eastAsia="Times New Roman" w:hAnsi="Times New Roman"/>
          <w:sz w:val="21"/>
          <w:szCs w:val="21"/>
          <w:color w:val="auto"/>
        </w:rPr>
        <w:t>. The Company shall disclose, in its quarterly reports on Form 10-Q and in its annual report on Form 10-K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21"/>
          <w:szCs w:val="21"/>
          <w:b w:val="1"/>
          <w:bCs w:val="1"/>
          <w:u w:val="single" w:color="auto"/>
          <w:color w:val="auto"/>
        </w:rPr>
        <w:t>Filing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Date</w:t>
      </w:r>
      <w:r>
        <w:rPr>
          <w:rFonts w:ascii="Times New Roman" w:cs="Times New Roman" w:eastAsia="Times New Roman" w:hAnsi="Times New Roman"/>
          <w:sz w:val="21"/>
          <w:szCs w:val="21"/>
          <w:color w:val="auto"/>
        </w:rPr>
        <w:t>”), which prospectus supplement will set forth, within the relevant period, the amount of Placement Shares sold through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75"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Dates; Certificate</w:t>
      </w:r>
      <w:r>
        <w:rPr>
          <w:rFonts w:ascii="Times New Roman" w:cs="Times New Roman" w:eastAsia="Times New Roman" w:hAnsi="Times New Roman"/>
          <w:sz w:val="22"/>
          <w:szCs w:val="22"/>
          <w:color w:val="auto"/>
        </w:rPr>
        <w:t>. (1) On or prior to the date of the first Placement Notice and (2) each time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195"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9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8" w:lineRule="exact"/>
        <w:rPr>
          <w:rFonts w:ascii="Times New Roman" w:cs="Times New Roman" w:eastAsia="Times New Roman" w:hAnsi="Times New Roman"/>
          <w:sz w:val="22"/>
          <w:szCs w:val="22"/>
          <w:color w:val="auto"/>
        </w:rPr>
      </w:pPr>
    </w:p>
    <w:p>
      <w:pPr>
        <w:ind w:left="660" w:hanging="4"/>
        <w:spacing w:after="0" w:line="271" w:lineRule="auto"/>
        <w:tabs>
          <w:tab w:leader="none" w:pos="101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 annual report on Form 10-K under the Exchange Act (including any Form 10-K/A containing amended financial information or a material amendment to the previously filed Form 10-K);</w:t>
      </w:r>
    </w:p>
    <w:p>
      <w:pPr>
        <w:spacing w:after="0" w:line="17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its quarterly reports on Form 10-Q under the Exchange Act; or</w:t>
      </w:r>
    </w:p>
    <w:p>
      <w:pPr>
        <w:spacing w:after="0" w:line="219"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05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 Company shall furnish the Agents (but in the case of clause (iv) above only if the Agents reasonably determine that the information contained in such Form 8-K is material) with a certificate dated the Representation Date, in the form and substance reasonably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shall be waived for any Representation Date occurring at a time at which no Placement Notice is pending (including, for purposes of clarity, during which a Suspension is in effect), which waiver shall continue until the earlier to occur of the date the Company delivers a Placement Notice hereunder or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Agents with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dated as of the date of the Placement Notice or the date that the instructions for the sale of Placement Shares are issued, as applicable.</w:t>
      </w:r>
    </w:p>
    <w:p>
      <w:pPr>
        <w:spacing w:after="0" w:line="203" w:lineRule="exact"/>
        <w:rPr>
          <w:sz w:val="20"/>
          <w:szCs w:val="20"/>
          <w:color w:val="auto"/>
        </w:rPr>
      </w:pPr>
    </w:p>
    <w:p>
      <w:pPr>
        <w:jc w:val="both"/>
        <w:ind w:firstLine="1304"/>
        <w:spacing w:after="0" w:line="261" w:lineRule="auto"/>
        <w:tabs>
          <w:tab w:leader="none" w:pos="182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w:t>
      </w:r>
      <w:r>
        <w:rPr>
          <w:rFonts w:ascii="Times New Roman" w:cs="Times New Roman" w:eastAsia="Times New Roman" w:hAnsi="Times New Roman"/>
          <w:sz w:val="21"/>
          <w:szCs w:val="21"/>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for which no waiver is applicable and excluding the date of this Agreement, the Company shall cause to be furnished to the Agents a written opinion and negative assurance letter of Cooley LLP (“</w:t>
      </w:r>
      <w:r>
        <w:rPr>
          <w:rFonts w:ascii="Times New Roman" w:cs="Times New Roman" w:eastAsia="Times New Roman" w:hAnsi="Times New Roman"/>
          <w:sz w:val="21"/>
          <w:szCs w:val="21"/>
          <w:b w:val="1"/>
          <w:bCs w:val="1"/>
          <w:u w:val="single" w:color="auto"/>
          <w:color w:val="auto"/>
        </w:rPr>
        <w:t>Company Counsel</w:t>
      </w:r>
      <w:r>
        <w:rPr>
          <w:rFonts w:ascii="Times New Roman" w:cs="Times New Roman" w:eastAsia="Times New Roman" w:hAnsi="Times New Roman"/>
          <w:sz w:val="21"/>
          <w:szCs w:val="21"/>
          <w:color w:val="auto"/>
        </w:rPr>
        <w:t xml:space="preserve">”), or other counsel satisfactory to the Agents, in form and substance satisfactory to the Agents and their counsel, substantially similar to the form previously provided to the Agents and their counsel, modified, as necessary, to relate to the Registration Statement and the Prospectus as then amended or supplemented;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lieu of such opinions or negative assurance letters for subsequent periodic filings under the Exchange Act, counsel may furnish the Agents with a letter (a “</w:t>
      </w:r>
      <w:r>
        <w:rPr>
          <w:rFonts w:ascii="Times New Roman" w:cs="Times New Roman" w:eastAsia="Times New Roman" w:hAnsi="Times New Roman"/>
          <w:sz w:val="21"/>
          <w:szCs w:val="21"/>
          <w:b w:val="1"/>
          <w:bCs w:val="1"/>
          <w:u w:val="single" w:color="auto"/>
          <w:color w:val="auto"/>
        </w:rPr>
        <w:t>Reliance Letter</w:t>
      </w:r>
      <w:r>
        <w:rPr>
          <w:rFonts w:ascii="Times New Roman" w:cs="Times New Roman" w:eastAsia="Times New Roman" w:hAnsi="Times New Roman"/>
          <w:sz w:val="21"/>
          <w:szCs w:val="21"/>
          <w:color w:val="auto"/>
        </w:rPr>
        <w:t xml:space="preserve">”) to the effect that the Agents may rely on a prior opinion or negative assurance letter delivered under this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 xml:space="preserve"> to the same extent as if it were dated the date of such letter (except that statements in such prior opinion or negative assurance letter, as the case may be, shall be deemed to relate to the Registration Statement and the Prospectus as amended or supplemented as of the date of the Reliance Letter).</w:t>
      </w:r>
    </w:p>
    <w:p>
      <w:pPr>
        <w:spacing w:after="0" w:line="175" w:lineRule="exact"/>
        <w:rPr>
          <w:rFonts w:ascii="Times New Roman" w:cs="Times New Roman" w:eastAsia="Times New Roman" w:hAnsi="Times New Roman"/>
          <w:sz w:val="21"/>
          <w:szCs w:val="21"/>
          <w:color w:val="auto"/>
        </w:rPr>
      </w:pPr>
    </w:p>
    <w:p>
      <w:pPr>
        <w:jc w:val="both"/>
        <w:ind w:firstLine="1304"/>
        <w:spacing w:after="0" w:line="249" w:lineRule="auto"/>
        <w:tabs>
          <w:tab w:leader="none" w:pos="17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 date of this Agreement, the Company shall cause its independent registered public accounting firm to furnish the Agents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color w:val="auto"/>
        </w:rPr>
        <w:t xml:space="preserve">”), dated the date the Comfort Letter is delivered, which shall meet the requirements set forth in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reasonably requested by the Agents, the Company shall cause a Comfort Letter to be furnished to the Agents within ten (10) Trading Days of the date of occurrence of any material transaction or event requiring the filing of a Current Report on Form 8-K containing financial information ( including the restatement of the Company’s financial</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49" w:lineRule="auto"/>
        <w:rPr>
          <w:sz w:val="20"/>
          <w:szCs w:val="20"/>
          <w:color w:val="auto"/>
        </w:rPr>
      </w:pPr>
      <w:r>
        <w:rPr>
          <w:rFonts w:ascii="Times New Roman" w:cs="Times New Roman" w:eastAsia="Times New Roman" w:hAnsi="Times New Roman"/>
          <w:sz w:val="22"/>
          <w:szCs w:val="22"/>
          <w:color w:val="auto"/>
        </w:rPr>
        <w:t>statements). The Comfort Letter from the Company’s independent registered public accounting firm shall be in a form and substance reasonably satisfactory to the Agents, (i) confirming that they are an independent registered public accounting firm within the meaning of the Securities Act and the Public Company Accounting Oversight Board (“</w:t>
      </w:r>
      <w:r>
        <w:rPr>
          <w:rFonts w:ascii="Times New Roman" w:cs="Times New Roman" w:eastAsia="Times New Roman" w:hAnsi="Times New Roman"/>
          <w:sz w:val="22"/>
          <w:szCs w:val="22"/>
          <w:b w:val="1"/>
          <w:bCs w:val="1"/>
          <w:u w:val="single" w:color="auto"/>
          <w:color w:val="auto"/>
        </w:rPr>
        <w:t>PCAOB</w:t>
      </w:r>
      <w:r>
        <w:rPr>
          <w:rFonts w:ascii="Times New Roman" w:cs="Times New Roman" w:eastAsia="Times New Roman" w:hAnsi="Times New Roman"/>
          <w:sz w:val="22"/>
          <w:szCs w:val="22"/>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Comfort Letter</w:t>
      </w:r>
      <w:r>
        <w:rPr>
          <w:rFonts w:ascii="Times New Roman" w:cs="Times New Roman" w:eastAsia="Times New Roman" w:hAnsi="Times New Roman"/>
          <w:sz w:val="22"/>
          <w:szCs w:val="22"/>
          <w:color w:val="auto"/>
        </w:rPr>
        <w:t>”) and (iii) updating the Initial Comfort Letter with any information that would have been included in the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Comfort Letter had it been given on such date and modified as necessary to relate to the Registration Statement and the Prospectus, as amended and supplemented to the date of such letter.</w:t>
      </w:r>
    </w:p>
    <w:p>
      <w:pPr>
        <w:spacing w:after="0" w:line="195" w:lineRule="exact"/>
        <w:rPr>
          <w:sz w:val="20"/>
          <w:szCs w:val="20"/>
          <w:color w:val="auto"/>
        </w:rPr>
      </w:pPr>
    </w:p>
    <w:p>
      <w:pPr>
        <w:jc w:val="both"/>
        <w:ind w:firstLine="1304"/>
        <w:spacing w:after="0" w:line="250" w:lineRule="auto"/>
        <w:tabs>
          <w:tab w:leader="none" w:pos="177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 Compliance with Regulation M</w:t>
      </w:r>
      <w:r>
        <w:rPr>
          <w:rFonts w:ascii="Times New Roman" w:cs="Times New Roman" w:eastAsia="Times New Roman" w:hAnsi="Times New Roman"/>
          <w:sz w:val="22"/>
          <w:szCs w:val="22"/>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 and Other Qualifications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w:t>
      </w:r>
    </w:p>
    <w:p>
      <w:pPr>
        <w:sectPr>
          <w:pgSz w:w="11900" w:h="16838" w:orient="portrait"/>
          <w:cols w:equalWidth="0" w:num="1">
            <w:col w:w="11240"/>
          </w:cols>
          <w:pgMar w:left="320" w:top="142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the distribution of the Placement Shares (but in no event for less than one year from the date of this Agreement).</w:t>
      </w:r>
    </w:p>
    <w:p>
      <w:pPr>
        <w:spacing w:after="0" w:line="220" w:lineRule="exact"/>
        <w:rPr>
          <w:sz w:val="20"/>
          <w:szCs w:val="20"/>
          <w:color w:val="auto"/>
        </w:rPr>
      </w:pPr>
    </w:p>
    <w:p>
      <w:pPr>
        <w:jc w:val="both"/>
        <w:ind w:firstLine="1304"/>
        <w:spacing w:after="0" w:line="261" w:lineRule="auto"/>
        <w:tabs>
          <w:tab w:leader="none" w:pos="1780" w:val="left"/>
        </w:tabs>
        <w:numPr>
          <w:ilvl w:val="2"/>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Sarbanes-Oxley Act</w:t>
      </w:r>
      <w:r>
        <w:rPr>
          <w:rFonts w:ascii="Times New Roman" w:cs="Times New Roman" w:eastAsia="Times New Roman" w:hAnsi="Times New Roman"/>
          <w:sz w:val="21"/>
          <w:szCs w:val="21"/>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w:t>
      </w:r>
    </w:p>
    <w:p>
      <w:pPr>
        <w:jc w:val="both"/>
        <w:ind w:firstLine="8"/>
        <w:spacing w:after="0" w:line="258" w:lineRule="auto"/>
        <w:tabs>
          <w:tab w:leader="none" w:pos="39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95"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24"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 Further Documentation</w:t>
      </w:r>
      <w:r>
        <w:rPr>
          <w:rFonts w:ascii="Times New Roman" w:cs="Times New Roman" w:eastAsia="Times New Roman" w:hAnsi="Times New Roman"/>
          <w:sz w:val="22"/>
          <w:szCs w:val="22"/>
          <w:color w:val="auto"/>
        </w:rPr>
        <w:t>. On or prior to the date of the first Placement Notice, the Company shall deliver to the Agents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Agents such further information, certificates and documents as the Agents may reasonably request.</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08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color w:val="auto"/>
        </w:rPr>
        <w:t>.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fees and expenses of Agents including but not limited to the reasonable and documented fees and expenses of the counsel to the Agents, payable upon the execution of this Agreement, (a) in an amount not to exceed $75,000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for which no waiver is applicable and excluding the date of this Agreement, and (c) in an amount not to exceed $45,000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21"/>
          <w:szCs w:val="21"/>
          <w:u w:val="single" w:color="auto"/>
          <w:color w:val="auto"/>
        </w:rPr>
        <w:t>Section 7(r)</w:t>
      </w:r>
      <w:r>
        <w:rPr>
          <w:rFonts w:ascii="Times New Roman" w:cs="Times New Roman" w:eastAsia="Times New Roman" w:hAnsi="Times New Roman"/>
          <w:sz w:val="21"/>
          <w:szCs w:val="21"/>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Agents set forth in clause (v) above by wire transfer of immediately available funds directly to such counsel upon presentation of an invoice containing the requisite payment information prepared by such counsel.</w:t>
      </w:r>
    </w:p>
    <w:p>
      <w:pPr>
        <w:spacing w:after="0" w:line="200" w:lineRule="exact"/>
        <w:rPr>
          <w:sz w:val="20"/>
          <w:szCs w:val="20"/>
          <w:color w:val="auto"/>
        </w:rPr>
      </w:pPr>
    </w:p>
    <w:p>
      <w:pPr>
        <w:spacing w:after="0" w:line="245" w:lineRule="exact"/>
        <w:rPr>
          <w:sz w:val="20"/>
          <w:szCs w:val="20"/>
          <w:color w:val="auto"/>
        </w:rPr>
      </w:pPr>
    </w:p>
    <w:p>
      <w:pPr>
        <w:jc w:val="both"/>
        <w:ind w:firstLine="656"/>
        <w:spacing w:after="0" w:line="253" w:lineRule="auto"/>
        <w:tabs>
          <w:tab w:leader="none" w:pos="113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Agents’ Obligations</w:t>
      </w:r>
      <w:r>
        <w:rPr>
          <w:rFonts w:ascii="Times New Roman" w:cs="Times New Roman" w:eastAsia="Times New Roman" w:hAnsi="Times New Roman"/>
          <w:sz w:val="22"/>
          <w:szCs w:val="22"/>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its reasonable judgment, and to the continuing satisfaction (or waiver by the Agents in their sole discretion) of the following additional conditions:</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have become effective and shall be available for the (i) resale of all Placement Shares issued to the Agents and not yet sold by the Agents and (ii) sale of all Placement Shares contemplated to be issued by any Placement Notice.</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48" w:lineRule="auto"/>
        <w:rPr>
          <w:sz w:val="20"/>
          <w:szCs w:val="20"/>
          <w:color w:val="auto"/>
        </w:rPr>
      </w:pPr>
      <w:r>
        <w:rPr>
          <w:rFonts w:ascii="Times New Roman" w:cs="Times New Roman" w:eastAsia="Times New Roman" w:hAnsi="Times New Roman"/>
          <w:sz w:val="22"/>
          <w:szCs w:val="22"/>
          <w:color w:val="auto"/>
        </w:rPr>
        <w: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in any material respect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4" w:lineRule="exact"/>
        <w:rPr>
          <w:sz w:val="20"/>
          <w:szCs w:val="20"/>
          <w:color w:val="auto"/>
        </w:rPr>
      </w:pPr>
    </w:p>
    <w:p>
      <w:pPr>
        <w:jc w:val="both"/>
        <w:ind w:firstLine="1304"/>
        <w:spacing w:after="0" w:line="256" w:lineRule="auto"/>
        <w:tabs>
          <w:tab w:leader="none" w:pos="183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The Agents shall have received the opinions and negative assurance letters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such delivery of such opinions and negative assurance letters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8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The Agents shall have received the Comfort Letter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98" w:name="page99"/>
    <w:bookmarkEnd w:id="98"/>
    <w:p>
      <w:pPr>
        <w:ind w:left="-656" w:right="20" w:firstLine="1304"/>
        <w:spacing w:after="0" w:line="271" w:lineRule="auto"/>
        <w:tabs>
          <w:tab w:leader="none" w:pos="124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Date Certificate</w:t>
      </w:r>
      <w:r>
        <w:rPr>
          <w:rFonts w:ascii="Times New Roman" w:cs="Times New Roman" w:eastAsia="Times New Roman" w:hAnsi="Times New Roman"/>
          <w:sz w:val="22"/>
          <w:szCs w:val="22"/>
          <w:color w:val="auto"/>
        </w:rPr>
        <w:t xml:space="preserve">. The Agents shall have received the certificate required to be delivered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56" w:right="20" w:firstLine="1304"/>
        <w:spacing w:after="0" w:line="284" w:lineRule="auto"/>
        <w:tabs>
          <w:tab w:leader="none" w:pos="121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the Exchange and the Common Stock shall not have been delisted from the Exchange.</w:t>
      </w:r>
    </w:p>
    <w:p>
      <w:pPr>
        <w:spacing w:after="0" w:line="143"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1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7(l)</w:t>
      </w:r>
      <w:r>
        <w:rPr>
          <w:rFonts w:ascii="Times New Roman" w:cs="Times New Roman" w:eastAsia="Times New Roman" w:hAnsi="Times New Roman"/>
          <w:sz w:val="22"/>
          <w:szCs w:val="22"/>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92" w:lineRule="exact"/>
        <w:rPr>
          <w:rFonts w:ascii="Times New Roman" w:cs="Times New Roman" w:eastAsia="Times New Roman" w:hAnsi="Times New Roman"/>
          <w:sz w:val="22"/>
          <w:szCs w:val="22"/>
          <w:color w:val="auto"/>
        </w:rPr>
      </w:pPr>
    </w:p>
    <w:p>
      <w:pPr>
        <w:jc w:val="both"/>
        <w:ind w:left="-656" w:right="20" w:firstLine="1304"/>
        <w:spacing w:after="0" w:line="257" w:lineRule="auto"/>
        <w:tabs>
          <w:tab w:leader="none" w:pos="108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72" w:lineRule="exact"/>
        <w:rPr>
          <w:rFonts w:ascii="Times New Roman" w:cs="Times New Roman" w:eastAsia="Times New Roman" w:hAnsi="Times New Roman"/>
          <w:sz w:val="22"/>
          <w:szCs w:val="22"/>
          <w:color w:val="auto"/>
        </w:rPr>
      </w:pPr>
    </w:p>
    <w:p>
      <w:pPr>
        <w:jc w:val="both"/>
        <w:ind w:left="-656" w:firstLine="1304"/>
        <w:spacing w:after="0" w:line="256" w:lineRule="auto"/>
        <w:tabs>
          <w:tab w:leader="none" w:pos="113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6" w:lineRule="exact"/>
        <w:rPr>
          <w:rFonts w:ascii="Times New Roman" w:cs="Times New Roman" w:eastAsia="Times New Roman" w:hAnsi="Times New Roman"/>
          <w:sz w:val="22"/>
          <w:szCs w:val="22"/>
          <w:color w:val="auto"/>
        </w:rPr>
      </w:pPr>
    </w:p>
    <w:p>
      <w:pPr>
        <w:ind w:left="-656" w:firstLine="1304"/>
        <w:spacing w:after="0" w:line="271" w:lineRule="auto"/>
        <w:tabs>
          <w:tab w:leader="none" w:pos="11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If applicable, FINRA shall have raised no objection to the terms of this offering and the amount of compensation allowable or payable to the Agents as described in the Prospectus.</w:t>
      </w:r>
    </w:p>
    <w:p>
      <w:pPr>
        <w:spacing w:after="0" w:line="157" w:lineRule="exact"/>
        <w:rPr>
          <w:rFonts w:ascii="Times New Roman" w:cs="Times New Roman" w:eastAsia="Times New Roman" w:hAnsi="Times New Roman"/>
          <w:sz w:val="22"/>
          <w:szCs w:val="22"/>
          <w:color w:val="auto"/>
        </w:rPr>
      </w:pPr>
    </w:p>
    <w:p>
      <w:pPr>
        <w:ind w:left="-656" w:firstLine="1304"/>
        <w:spacing w:after="0" w:line="271" w:lineRule="auto"/>
        <w:tabs>
          <w:tab w:leader="none" w:pos="120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the Agents to terminate this Agreement pursuant to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75" w:lineRule="auto"/>
        <w:tabs>
          <w:tab w:leader="none" w:pos="1163"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Indemnification</w:t>
      </w:r>
      <w:r>
        <w:rPr>
          <w:rFonts w:ascii="Times New Roman" w:cs="Times New Roman" w:eastAsia="Times New Roman" w:hAnsi="Times New Roman"/>
          <w:sz w:val="21"/>
          <w:szCs w:val="21"/>
          <w:color w:val="auto"/>
        </w:rPr>
        <w:t>. The Company agrees to indemnify and hold harmless each Agent, its affiliates and their respective partners, members, directors, officers, employees and agents and each person, if any, who controls such Agent or any such affiliate within the meaning of Section 15 of the Securities Act or Section 20 of the Exchange Act as follows:</w:t>
      </w:r>
    </w:p>
    <w:p>
      <w:pPr>
        <w:spacing w:after="0" w:line="155" w:lineRule="exact"/>
        <w:rPr>
          <w:rFonts w:ascii="Times New Roman" w:cs="Times New Roman" w:eastAsia="Times New Roman" w:hAnsi="Times New Roman"/>
          <w:sz w:val="21"/>
          <w:szCs w:val="21"/>
          <w:color w:val="auto"/>
        </w:rPr>
      </w:pPr>
    </w:p>
    <w:p>
      <w:pPr>
        <w:jc w:val="both"/>
        <w:ind w:left="-656" w:firstLine="1952"/>
        <w:spacing w:after="0" w:line="253" w:lineRule="auto"/>
        <w:tabs>
          <w:tab w:leader="none" w:pos="1722"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w:t>
      </w:r>
    </w:p>
    <w:p>
      <w:pPr>
        <w:sectPr>
          <w:pgSz w:w="11900" w:h="16838" w:orient="portrait"/>
          <w:cols w:equalWidth="0" w:num="1">
            <w:col w:w="10584"/>
          </w:cols>
          <w:pgMar w:left="976" w:top="1422" w:right="339"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22"/>
          <w:szCs w:val="22"/>
          <w:color w:val="auto"/>
        </w:rPr>
        <w:t>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6" w:lineRule="exact"/>
        <w:rPr>
          <w:sz w:val="20"/>
          <w:szCs w:val="20"/>
          <w:color w:val="auto"/>
        </w:rPr>
      </w:pPr>
    </w:p>
    <w:p>
      <w:pPr>
        <w:jc w:val="both"/>
        <w:ind w:firstLine="1952"/>
        <w:spacing w:after="0" w:line="250" w:lineRule="auto"/>
        <w:tabs>
          <w:tab w:leader="none" w:pos="242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below) any such settlement is effected with the written consent of the Company, which consent shall not unreasonably be delayed or withheld; and</w:t>
      </w:r>
    </w:p>
    <w:p>
      <w:pPr>
        <w:spacing w:after="0" w:line="194"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2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this indemnity agreement shall not apply to any loss, liability, claim, damage or expense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out of any untrue statement or omission or alleged untrue statement or omission made solely in reliance upon and in conformity with the Agents Information (as defined below).</w:t>
      </w:r>
    </w:p>
    <w:p>
      <w:pPr>
        <w:spacing w:after="0" w:line="165" w:lineRule="exact"/>
        <w:rPr>
          <w:sz w:val="20"/>
          <w:szCs w:val="20"/>
          <w:color w:val="auto"/>
        </w:rPr>
      </w:pPr>
    </w:p>
    <w:p>
      <w:pPr>
        <w:jc w:val="both"/>
        <w:ind w:firstLine="1304"/>
        <w:spacing w:after="0" w:line="248" w:lineRule="auto"/>
        <w:tabs>
          <w:tab w:leader="none" w:pos="185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Agents Indemnification</w:t>
      </w:r>
      <w:r>
        <w:rPr>
          <w:rFonts w:ascii="Times New Roman" w:cs="Times New Roman" w:eastAsia="Times New Roman" w:hAnsi="Times New Roman"/>
          <w:sz w:val="22"/>
          <w:szCs w:val="22"/>
          <w:color w:val="auto"/>
        </w:rPr>
        <w:t xml:space="preserve">. Each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any Prospectus Supplement or any Issuer Free Writing Prospectus (or any amendment or supplement thereto) are the statements set forth in the first sentence of the fifth paragraph, the seventh paragraph and the eighth paragraph under the caption “Plan of Distribution” in the Sales Prospectus (the “</w:t>
      </w:r>
      <w:r>
        <w:rPr>
          <w:rFonts w:ascii="Times New Roman" w:cs="Times New Roman" w:eastAsia="Times New Roman" w:hAnsi="Times New Roman"/>
          <w:sz w:val="22"/>
          <w:szCs w:val="22"/>
          <w:b w:val="1"/>
          <w:bCs w:val="1"/>
          <w:u w:val="single" w:color="auto"/>
          <w:color w:val="auto"/>
        </w:rPr>
        <w:t>Agents Information</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notify each such indemnifying party of the commencement of such action, enclosing a copy of all papers served, but the omission so to notify such indemnifying</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party will not relieve the indemnifying party from (i) any liability that it might have to any indemnified party otherwise than under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and (ii) any liability that it may have to any indemnified party under the foregoing provision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and after the indemnifying party has received a written invoice relating to such fees, disbursements and other changes.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 Indemnified parties will reasonably cooperate with the indemnifying party or</w:t>
      </w:r>
    </w:p>
    <w:p>
      <w:pPr>
        <w:sectPr>
          <w:pgSz w:w="11900" w:h="16838" w:orient="portrait"/>
          <w:cols w:equalWidth="0" w:num="1">
            <w:col w:w="11240"/>
          </w:cols>
          <w:pgMar w:left="320" w:top="142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indemnifying parties in the investigation and defense of any claim for which indemnification is sought hereunder.</w:t>
      </w:r>
    </w:p>
    <w:p>
      <w:pPr>
        <w:spacing w:after="0" w:line="28" w:lineRule="exact"/>
        <w:rPr>
          <w:sz w:val="20"/>
          <w:szCs w:val="20"/>
          <w:color w:val="auto"/>
        </w:rPr>
      </w:pPr>
    </w:p>
    <w:p>
      <w:pPr>
        <w:jc w:val="both"/>
        <w:ind w:firstLine="1304"/>
        <w:spacing w:after="0" w:line="259" w:lineRule="auto"/>
        <w:tabs>
          <w:tab w:leader="none" w:pos="179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Without Consent if Failure to Reimburse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If an indemnified party shall have requested in writing an indemnifying party to reimburse the indemnified party for reasonable and documented fees and expenses of counsel for which it is entitled to be reimbursed under this Section 10, such indemnifying party agrees that it shall be liable for any settlement of the nature contemplated by </w:t>
      </w:r>
      <w:r>
        <w:rPr>
          <w:rFonts w:ascii="Times New Roman" w:cs="Times New Roman" w:eastAsia="Times New Roman" w:hAnsi="Times New Roman"/>
          <w:sz w:val="21"/>
          <w:szCs w:val="21"/>
          <w:u w:val="single" w:color="auto"/>
          <w:color w:val="auto"/>
        </w:rPr>
        <w:t>Section 10(a)(ii)</w:t>
      </w:r>
      <w:r>
        <w:rPr>
          <w:rFonts w:ascii="Times New Roman" w:cs="Times New Roman" w:eastAsia="Times New Roman" w:hAnsi="Times New Roman"/>
          <w:sz w:val="21"/>
          <w:szCs w:val="21"/>
          <w:color w:val="auto"/>
        </w:rPr>
        <w:t xml:space="preserve"> effected without its written consent if (1) such settlement is entered into more than 45 days after receipt by such indemnifying party of the aforesaid request, (2) such indemnifying party shall have received written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90"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6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an Agent shall not be required to</w:t>
      </w:r>
    </w:p>
    <w:p>
      <w:pPr>
        <w:sectPr>
          <w:pgSz w:w="11900" w:h="16838" w:orient="portrait"/>
          <w:cols w:equalWidth="0" w:num="1">
            <w:col w:w="11240"/>
          </w:cols>
          <w:pgMar w:left="320" w:top="1422" w:right="339" w:bottom="1440" w:gutter="0" w:footer="0" w:header="0"/>
        </w:sectPr>
      </w:pPr>
    </w:p>
    <w:bookmarkStart w:id="102" w:name="page103"/>
    <w:bookmarkEnd w:id="102"/>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21"/>
          <w:szCs w:val="21"/>
          <w:u w:val="single" w:color="auto"/>
          <w:color w:val="auto"/>
        </w:rPr>
        <w:t>Section 11(f)</w:t>
      </w:r>
      <w:r>
        <w:rPr>
          <w:rFonts w:ascii="Times New Roman" w:cs="Times New Roman" w:eastAsia="Times New Roman" w:hAnsi="Times New Roman"/>
          <w:sz w:val="21"/>
          <w:szCs w:val="21"/>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10(e)</w:t>
      </w:r>
      <w:r>
        <w:rPr>
          <w:rFonts w:ascii="Times New Roman" w:cs="Times New Roman" w:eastAsia="Times New Roman" w:hAnsi="Times New Roman"/>
          <w:sz w:val="21"/>
          <w:szCs w:val="21"/>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10(e)</w:t>
      </w:r>
      <w:r>
        <w:rPr>
          <w:rFonts w:ascii="Times New Roman" w:cs="Times New Roman" w:eastAsia="Times New Roman" w:hAnsi="Times New Roman"/>
          <w:sz w:val="21"/>
          <w:szCs w:val="21"/>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hereof. The Agents’ respective obligations to contribute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10(e)</w:t>
      </w:r>
      <w:r>
        <w:rPr>
          <w:rFonts w:ascii="Times New Roman" w:cs="Times New Roman" w:eastAsia="Times New Roman" w:hAnsi="Times New Roman"/>
          <w:sz w:val="21"/>
          <w:szCs w:val="21"/>
          <w:color w:val="auto"/>
        </w:rPr>
        <w:t xml:space="preserve"> are several in proportion to the respective number of Placement Shares they have sold hereunder, and not joint.</w:t>
      </w:r>
    </w:p>
    <w:p>
      <w:pPr>
        <w:spacing w:after="0" w:line="180" w:lineRule="exact"/>
        <w:rPr>
          <w:sz w:val="20"/>
          <w:szCs w:val="20"/>
          <w:color w:val="auto"/>
        </w:rPr>
      </w:pPr>
    </w:p>
    <w:p>
      <w:pPr>
        <w:jc w:val="both"/>
        <w:ind w:firstLine="656"/>
        <w:spacing w:after="0" w:line="253" w:lineRule="auto"/>
        <w:tabs>
          <w:tab w:leader="none" w:pos="124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78"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such Agent shall provide the required notice as specified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(Notices). For the avoidance of doubt, the termination by one Agent of its rights and obligations under this Agreement pursuant to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shall not affect the rights and obligations of the other Agents under the Agreement.</w:t>
      </w:r>
    </w:p>
    <w:p>
      <w:pPr>
        <w:spacing w:after="0" w:line="193" w:lineRule="exact"/>
        <w:rPr>
          <w:sz w:val="20"/>
          <w:szCs w:val="20"/>
          <w:color w:val="auto"/>
        </w:rPr>
      </w:pPr>
    </w:p>
    <w:p>
      <w:pPr>
        <w:jc w:val="both"/>
        <w:ind w:firstLine="1304"/>
        <w:spacing w:after="0" w:line="251" w:lineRule="auto"/>
        <w:tabs>
          <w:tab w:leader="none" w:pos="180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 For the avoidance of doubt, the termination by the Company of this Agreement with respect to one Agent pursuant to this Section 12(b) shall not affect the rights and obligations of the other Agents under this Agreement.</w:t>
      </w:r>
    </w:p>
    <w:p>
      <w:pPr>
        <w:spacing w:after="0" w:line="19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4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Agents under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8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shall remain in full force and effect.</w:t>
      </w:r>
    </w:p>
    <w:p>
      <w:pPr>
        <w:spacing w:after="0" w:line="179"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83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termination shall not be effective until the close of business on the date of receipt of such notice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Agents or the Company, as</w:t>
      </w:r>
    </w:p>
    <w:p>
      <w:pPr>
        <w:sectPr>
          <w:pgSz w:w="11900" w:h="16838" w:orient="portrait"/>
          <w:cols w:equalWidth="0" w:num="1">
            <w:col w:w="11240"/>
          </w:cols>
          <w:pgMar w:left="320" w:top="1422" w:right="339" w:bottom="1440" w:gutter="0" w:footer="0" w:header="0"/>
        </w:sectPr>
      </w:pPr>
    </w:p>
    <w:bookmarkStart w:id="104" w:name="page105"/>
    <w:bookmarkEnd w:id="104"/>
    <w:p>
      <w:pPr>
        <w:ind w:right="20"/>
        <w:spacing w:after="0" w:line="271" w:lineRule="auto"/>
        <w:rPr>
          <w:sz w:val="20"/>
          <w:szCs w:val="20"/>
          <w:color w:val="auto"/>
        </w:rPr>
      </w:pPr>
      <w:r>
        <w:rPr>
          <w:rFonts w:ascii="Times New Roman" w:cs="Times New Roman" w:eastAsia="Times New Roman" w:hAnsi="Times New Roman"/>
          <w:sz w:val="22"/>
          <w:szCs w:val="22"/>
          <w:color w:val="auto"/>
        </w:rPr>
        <w:t>the case may be. If such termination shall occur prior to the Settlement Date for any sale of Placement Shares, such Placement Shares shall settle in accordance with the provisions of this Agreement.</w:t>
      </w:r>
    </w:p>
    <w:p>
      <w:pPr>
        <w:spacing w:after="0" w:line="158" w:lineRule="exact"/>
        <w:rPr>
          <w:sz w:val="20"/>
          <w:szCs w:val="20"/>
          <w:color w:val="auto"/>
        </w:rPr>
      </w:pPr>
    </w:p>
    <w:p>
      <w:pPr>
        <w:jc w:val="both"/>
        <w:ind w:firstLine="656"/>
        <w:spacing w:after="0" w:line="263" w:lineRule="auto"/>
        <w:tabs>
          <w:tab w:leader="none" w:pos="12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 East 59th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Capital Markets</w:t>
      </w:r>
    </w:p>
    <w:p>
      <w:pPr>
        <w:spacing w:after="0" w:line="15"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307-3730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 East 59th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General Counsel</w:t>
      </w:r>
    </w:p>
    <w:p>
      <w:pPr>
        <w:spacing w:after="0" w:line="15"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[***]@cantor.com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H.C. Wainwright &amp; Co., LLC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430 Park Avenue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Head of Investment Banking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[***]@hcwco.com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Duane Morris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1540 Broadway</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James T. Seery</w:t>
      </w:r>
    </w:p>
    <w:p>
      <w:pPr>
        <w:spacing w:after="0" w:line="4"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[***]@duanemorris.com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to the Company, shall be delivered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Quince Therapeutics,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611 Gateway Boulevard, Suite 273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South San Francisco, California</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Brendan Hannah</w:t>
      </w:r>
    </w:p>
    <w:p>
      <w:pPr>
        <w:spacing w:after="0" w:line="4"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[***]@quincetx.com</w:t>
      </w:r>
    </w:p>
    <w:p>
      <w:pPr>
        <w:sectPr>
          <w:pgSz w:w="11900" w:h="16838" w:orient="portrait"/>
          <w:cols w:equalWidth="0" w:num="1">
            <w:col w:w="11240"/>
          </w:cols>
          <w:pgMar w:left="320" w:top="142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Cooley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3175 Hanover Street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Palo Alto, CA 94304-1130</w:t>
      </w:r>
    </w:p>
    <w:p>
      <w:pPr>
        <w:spacing w:after="0" w:line="1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Gordon Ho</w:t>
      </w:r>
    </w:p>
    <w:p>
      <w:pPr>
        <w:spacing w:after="0" w:line="4"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[***]@cooley.com</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shall mean any day on which the Exchange and commercial banks in the City of New York are open for business.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An electronic communication (“</w:t>
      </w:r>
      <w:r>
        <w:rPr>
          <w:rFonts w:ascii="Times New Roman" w:cs="Times New Roman" w:eastAsia="Times New Roman" w:hAnsi="Times New Roman"/>
          <w:sz w:val="21"/>
          <w:szCs w:val="21"/>
          <w:b w:val="1"/>
          <w:bCs w:val="1"/>
          <w:u w:val="single" w:color="auto"/>
          <w:color w:val="auto"/>
        </w:rPr>
        <w:t>Electronic Notice</w:t>
      </w:r>
      <w:r>
        <w:rPr>
          <w:rFonts w:ascii="Times New Roman" w:cs="Times New Roman" w:eastAsia="Times New Roman" w:hAnsi="Times New Roman"/>
          <w:sz w:val="21"/>
          <w:szCs w:val="21"/>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21"/>
          <w:szCs w:val="21"/>
          <w:b w:val="1"/>
          <w:bCs w:val="1"/>
          <w:u w:val="single" w:color="auto"/>
          <w:color w:val="auto"/>
        </w:rPr>
        <w:t>Nonelectronic Notic</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which shall be sent to the requesting party within ten (10) days of receipt of the written request for Nonelectronic Notice.</w:t>
      </w:r>
    </w:p>
    <w:p>
      <w:pPr>
        <w:spacing w:after="0" w:line="178" w:lineRule="exact"/>
        <w:rPr>
          <w:sz w:val="20"/>
          <w:szCs w:val="20"/>
          <w:color w:val="auto"/>
        </w:rPr>
      </w:pPr>
    </w:p>
    <w:p>
      <w:pPr>
        <w:jc w:val="both"/>
        <w:ind w:firstLine="656"/>
        <w:spacing w:after="0" w:line="249" w:lineRule="auto"/>
        <w:tabs>
          <w:tab w:leader="none" w:pos="11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each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Agents may assign its rights and obligations hereunder to an affiliate thereof without obtaining the Company’s consent.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Stock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86" w:lineRule="exact"/>
        <w:rPr>
          <w:rFonts w:ascii="Times New Roman" w:cs="Times New Roman" w:eastAsia="Times New Roman" w:hAnsi="Times New Roman"/>
          <w:sz w:val="22"/>
          <w:szCs w:val="22"/>
          <w:color w:val="auto"/>
        </w:rPr>
      </w:pPr>
    </w:p>
    <w:p>
      <w:pPr>
        <w:jc w:val="both"/>
        <w:ind w:firstLine="656"/>
        <w:spacing w:after="0" w:line="275" w:lineRule="auto"/>
        <w:tabs>
          <w:tab w:leader="none" w:pos="133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 Severability; Waiver</w:t>
      </w:r>
      <w:r>
        <w:rPr>
          <w:rFonts w:ascii="Times New Roman" w:cs="Times New Roman" w:eastAsia="Times New Roman" w:hAnsi="Times New Roman"/>
          <w:sz w:val="21"/>
          <w:szCs w:val="21"/>
          <w:color w:val="auto"/>
        </w:rPr>
        <w:t>. This Agreement (including all schedules and exhibits attached hereto, side letters and Placement Notices issued pursuant hereto) constitutes the entire agreement and supersedes all other prior and contemporaneous agreements and undertakings, both written and oral, among the parties hereto with regard to the</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49" w:lineRule="auto"/>
        <w:rPr>
          <w:sz w:val="20"/>
          <w:szCs w:val="20"/>
          <w:color w:val="auto"/>
        </w:rPr>
      </w:pPr>
      <w:r>
        <w:rPr>
          <w:rFonts w:ascii="Times New Roman" w:cs="Times New Roman" w:eastAsia="Times New Roman" w:hAnsi="Times New Roman"/>
          <w:sz w:val="22"/>
          <w:szCs w:val="22"/>
          <w:color w:val="auto"/>
        </w:rPr>
        <w:t>subject matter hereof. Neither this Agreement nor any term hereof may be amended except pursuant to a written instrument executed by the Company and each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9" w:lineRule="exact"/>
        <w:rPr>
          <w:sz w:val="20"/>
          <w:szCs w:val="20"/>
          <w:color w:val="auto"/>
        </w:rPr>
      </w:pPr>
    </w:p>
    <w:p>
      <w:pPr>
        <w:jc w:val="both"/>
        <w:ind w:firstLine="656"/>
        <w:spacing w:after="0" w:line="250" w:lineRule="auto"/>
        <w:tabs>
          <w:tab w:leader="none" w:pos="141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TIME; WAIVER OF JURY TRIAL</w:t>
      </w:r>
      <w:r>
        <w:rPr>
          <w:rFonts w:ascii="Times New Roman" w:cs="Times New Roman" w:eastAsia="Times New Roman" w:hAnsi="Times New Roman"/>
          <w:sz w:val="22"/>
          <w:szCs w:val="22"/>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0" w:lineRule="exact"/>
        <w:rPr>
          <w:rFonts w:ascii="Times New Roman" w:cs="Times New Roman" w:eastAsia="Times New Roman" w:hAnsi="Times New Roman"/>
          <w:sz w:val="22"/>
          <w:szCs w:val="22"/>
          <w:color w:val="auto"/>
        </w:rPr>
      </w:pPr>
    </w:p>
    <w:p>
      <w:pPr>
        <w:jc w:val="both"/>
        <w:ind w:firstLine="656"/>
        <w:spacing w:after="0" w:line="248" w:lineRule="auto"/>
        <w:tabs>
          <w:tab w:leader="none" w:pos="14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TO JURISDICTION</w:t>
      </w:r>
      <w:r>
        <w:rPr>
          <w:rFonts w:ascii="Times New Roman" w:cs="Times New Roman" w:eastAsia="Times New Roman" w:hAnsi="Times New Roman"/>
          <w:sz w:val="22"/>
          <w:szCs w:val="22"/>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ectPr>
          <w:pgSz w:w="11900" w:h="16838" w:orient="portrait"/>
          <w:cols w:equalWidth="0" w:num="1">
            <w:col w:w="11240"/>
          </w:cols>
          <w:pgMar w:left="320" w:top="1422" w:right="339" w:bottom="1440" w:gutter="0" w:footer="0" w:header="0"/>
        </w:sectPr>
      </w:pPr>
    </w:p>
    <w:bookmarkStart w:id="107" w:name="page108"/>
    <w:bookmarkEnd w:id="107"/>
    <w:p>
      <w:pPr>
        <w:jc w:val="both"/>
        <w:ind w:left="-656" w:firstLine="656"/>
        <w:spacing w:after="0" w:line="251" w:lineRule="auto"/>
        <w:tabs>
          <w:tab w:leader="none" w:pos="55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4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8" w:lineRule="exact"/>
        <w:rPr>
          <w:rFonts w:ascii="Times New Roman" w:cs="Times New Roman" w:eastAsia="Times New Roman" w:hAnsi="Times New Roman"/>
          <w:sz w:val="22"/>
          <w:szCs w:val="22"/>
          <w:color w:val="auto"/>
        </w:rPr>
      </w:pPr>
    </w:p>
    <w:p>
      <w:pPr>
        <w:jc w:val="both"/>
        <w:ind w:left="-656" w:firstLine="656"/>
        <w:spacing w:after="0" w:line="262" w:lineRule="auto"/>
        <w:tabs>
          <w:tab w:leader="none" w:pos="50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Permitted Free Writing Prospectuses</w:t>
      </w:r>
      <w:r>
        <w:rPr>
          <w:rFonts w:ascii="Times New Roman" w:cs="Times New Roman" w:eastAsia="Times New Roman" w:hAnsi="Times New Roman"/>
          <w:sz w:val="21"/>
          <w:szCs w:val="21"/>
          <w:color w:val="auto"/>
        </w:rPr>
        <w:t xml:space="preserve">. The Company represents, warrants and agrees that, unless it obtains the prior written consent of the Agents, and each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21"/>
          <w:szCs w:val="21"/>
          <w:u w:val="single" w:color="auto"/>
          <w:color w:val="auto"/>
        </w:rPr>
        <w:t>Exhibit 21</w:t>
      </w:r>
      <w:r>
        <w:rPr>
          <w:rFonts w:ascii="Times New Roman" w:cs="Times New Roman" w:eastAsia="Times New Roman" w:hAnsi="Times New Roman"/>
          <w:sz w:val="21"/>
          <w:szCs w:val="21"/>
          <w:color w:val="auto"/>
        </w:rPr>
        <w:t xml:space="preserve"> hereto are Permitted Free Writing Prospectuses.</w:t>
      </w:r>
    </w:p>
    <w:p>
      <w:pPr>
        <w:spacing w:after="0" w:line="171" w:lineRule="exact"/>
        <w:rPr>
          <w:rFonts w:ascii="Times New Roman" w:cs="Times New Roman" w:eastAsia="Times New Roman" w:hAnsi="Times New Roman"/>
          <w:sz w:val="21"/>
          <w:szCs w:val="21"/>
          <w:color w:val="auto"/>
        </w:rPr>
      </w:pPr>
    </w:p>
    <w:p>
      <w:pPr>
        <w:ind w:left="484" w:hanging="484"/>
        <w:spacing w:after="0"/>
        <w:tabs>
          <w:tab w:leader="none" w:pos="48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color w:val="auto"/>
        </w:rPr>
        <w:t>. The Company acknowledges and agrees that: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16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80" w:lineRule="exact"/>
        <w:rPr>
          <w:rFonts w:ascii="Times New Roman" w:cs="Times New Roman" w:eastAsia="Times New Roman" w:hAnsi="Times New Roman"/>
          <w:sz w:val="22"/>
          <w:szCs w:val="22"/>
          <w:color w:val="auto"/>
        </w:rPr>
      </w:pPr>
    </w:p>
    <w:p>
      <w:pPr>
        <w:ind w:left="-656" w:firstLine="1304"/>
        <w:spacing w:after="0" w:line="284" w:lineRule="auto"/>
        <w:tabs>
          <w:tab w:leader="none" w:pos="112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capable of evaluating and understanding, and understands and accepts, the terms, risks and conditions of the transactions contemplated by this Agreement;</w:t>
      </w:r>
    </w:p>
    <w:p>
      <w:pPr>
        <w:sectPr>
          <w:pgSz w:w="11900" w:h="16838" w:orient="portrait"/>
          <w:cols w:equalWidth="0" w:num="1">
            <w:col w:w="10584"/>
          </w:cols>
          <w:pgMar w:left="976" w:top="1422" w:right="339" w:bottom="1440" w:gutter="0" w:footer="0" w:header="0"/>
        </w:sectPr>
      </w:pPr>
    </w:p>
    <w:bookmarkStart w:id="108" w:name="page109"/>
    <w:bookmarkEnd w:id="108"/>
    <w:p>
      <w:pPr>
        <w:jc w:val="both"/>
        <w:ind w:firstLine="1304"/>
        <w:spacing w:after="0" w:line="257" w:lineRule="auto"/>
        <w:tabs>
          <w:tab w:leader="none" w:pos="175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aware that each Agent and its affiliates are engaged in a broad range of transactions which may involve interests that differ from those of the Company and such Agent and its affiliates have no obligation to disclose such interests and transactions to the Company by virtue of any fiduciary, advisory or agency relationship or otherwise; and</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waives, to the fullest extent permitted by law, any claims it may have against an Agent or its affiliates for breach of fiduciary duty or alleged breach of fiduciary duty in connection with the sale of Placement Shares under this Agreement and agrees that such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the Company.</w:t>
      </w:r>
    </w:p>
    <w:p>
      <w:pPr>
        <w:spacing w:after="0" w:line="178"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have the respective meanings set forth below:</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Time</w:t>
      </w:r>
      <w:r>
        <w:rPr>
          <w:rFonts w:ascii="Times New Roman" w:cs="Times New Roman" w:eastAsia="Times New Roman" w:hAnsi="Times New Roman"/>
          <w:sz w:val="22"/>
          <w:szCs w:val="22"/>
          <w:color w:val="auto"/>
        </w:rPr>
        <w:t>” means (i) each Representation Date, (ii) the time of each sale of any Placement Shares pursuant to this Agreement and (iii) each Settlement Date.</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Issuer Free Writing Prospectus</w:t>
      </w:r>
      <w:r>
        <w:rPr>
          <w:rFonts w:ascii="Times New Roman" w:cs="Times New Roman" w:eastAsia="Times New Roman" w:hAnsi="Times New Roman"/>
          <w:sz w:val="21"/>
          <w:szCs w:val="21"/>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76"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Rule 164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172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405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415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430B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Rule 433</w:t>
      </w:r>
      <w:r>
        <w:rPr>
          <w:rFonts w:ascii="Times New Roman" w:cs="Times New Roman" w:eastAsia="Times New Roman" w:hAnsi="Times New Roman"/>
          <w:sz w:val="22"/>
          <w:szCs w:val="22"/>
          <w:color w:val="auto"/>
        </w:rPr>
        <w:t>” refer to such rules under the Securities Act Regulations.</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ectPr>
          <w:pgSz w:w="11900" w:h="16838" w:orient="portrait"/>
          <w:cols w:equalWidth="0" w:num="1">
            <w:col w:w="11240"/>
          </w:cols>
          <w:pgMar w:left="320" w:top="1422" w:right="339" w:bottom="1440" w:gutter="0" w:footer="0" w:header="0"/>
        </w:sectPr>
      </w:pPr>
    </w:p>
    <w:bookmarkStart w:id="109" w:name="page110"/>
    <w:bookmarkEnd w:id="109"/>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110" w:name="page111"/>
    <w:bookmarkEnd w:id="11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each Agent, please so indicate in the space provided below for that purpose, whereupon this letter shall constitute a binding agreement between the Company and each Agent.</w:t>
      </w: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color w:val="auto"/>
        </w:rPr>
        <w:t>QUINCE THERAPEUTICS, INC.</w:t>
      </w:r>
    </w:p>
    <w:p>
      <w:pPr>
        <w:spacing w:after="0" w:line="200" w:lineRule="exact"/>
        <w:rPr>
          <w:sz w:val="20"/>
          <w:szCs w:val="20"/>
          <w:color w:val="auto"/>
        </w:rPr>
      </w:pPr>
    </w:p>
    <w:p>
      <w:pPr>
        <w:spacing w:after="0" w:line="307"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22"/>
          <w:szCs w:val="22"/>
          <w:color w:val="auto"/>
        </w:rPr>
        <w:t>By:</w:t>
        <w:tab/>
        <w:t>/s/ Brendan Hannah</w:t>
      </w:r>
    </w:p>
    <w:p>
      <w:pPr>
        <w:spacing w:after="0" w:line="29" w:lineRule="exact"/>
        <w:rPr>
          <w:sz w:val="20"/>
          <w:szCs w:val="20"/>
          <w:color w:val="auto"/>
        </w:rPr>
      </w:pPr>
    </w:p>
    <w:tbl>
      <w:tblPr>
        <w:tblLayout w:type="fixed"/>
        <w:tblInd w:w="584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640" w:type="dxa"/>
            <w:vAlign w:val="bottom"/>
            <w:tcBorders>
              <w:top w:val="single" w:sz="8" w:color="auto"/>
            </w:tcBorders>
          </w:tcPr>
          <w:p>
            <w:pPr>
              <w:ind w:left="180"/>
              <w:spacing w:after="0" w:line="251" w:lineRule="exact"/>
              <w:rPr>
                <w:sz w:val="20"/>
                <w:szCs w:val="20"/>
                <w:color w:val="auto"/>
              </w:rPr>
            </w:pPr>
            <w:r>
              <w:rPr>
                <w:rFonts w:ascii="Times New Roman" w:cs="Times New Roman" w:eastAsia="Times New Roman" w:hAnsi="Times New Roman"/>
                <w:sz w:val="22"/>
                <w:szCs w:val="22"/>
                <w:color w:val="auto"/>
              </w:rPr>
              <w:t>Brendan Hannah</w:t>
            </w:r>
          </w:p>
        </w:tc>
      </w:tr>
      <w:tr>
        <w:trPr>
          <w:trHeight w:val="282"/>
        </w:trPr>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Business Officer and Chief</w:t>
            </w:r>
          </w:p>
        </w:tc>
      </w:tr>
    </w:tbl>
    <w:p>
      <w:pPr>
        <w:ind w:left="5860"/>
        <w:spacing w:after="0"/>
        <w:rPr>
          <w:sz w:val="20"/>
          <w:szCs w:val="20"/>
          <w:color w:val="auto"/>
        </w:rPr>
      </w:pPr>
      <w:r>
        <w:rPr>
          <w:rFonts w:ascii="Times New Roman" w:cs="Times New Roman" w:eastAsia="Times New Roman" w:hAnsi="Times New Roman"/>
          <w:sz w:val="22"/>
          <w:szCs w:val="22"/>
          <w:color w:val="auto"/>
        </w:rPr>
        <w:t>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11" w:name="page112"/>
    <w:bookmarkEnd w:id="111"/>
    <w:p>
      <w:pPr>
        <w:spacing w:after="0" w:line="9"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22"/>
          <w:szCs w:val="22"/>
          <w:color w:val="auto"/>
        </w:rPr>
        <w:t>ACCEPTED as of the date first-above written:</w:t>
      </w:r>
    </w:p>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CANTOR FITZGERALD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Sameer Vasudev</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3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H.C. WAINWRIGHT &amp; CO., LLC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Edward Silvera</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Edward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Sales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Placement Notice</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From:</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To:</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Attention:</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Subject:</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Quince Therapeutics,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[Cantor Fitzgerald &amp; Co.][H.C. Wainwright &amp; Co.,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Placement Notice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20[•]</w:t>
      </w:r>
    </w:p>
    <w:p>
      <w:pPr>
        <w:spacing w:after="0" w:line="200" w:lineRule="exact"/>
        <w:rPr>
          <w:sz w:val="20"/>
          <w:szCs w:val="20"/>
          <w:color w:val="auto"/>
        </w:rPr>
      </w:pPr>
    </w:p>
    <w:p>
      <w:pPr>
        <w:sectPr>
          <w:pgSz w:w="11900" w:h="16838" w:orient="portrait"/>
          <w:cols w:equalWidth="0" w:num="2">
            <w:col w:w="1560" w:space="500"/>
            <w:col w:w="9180"/>
          </w:cols>
          <w:pgMar w:left="320" w:top="1418" w:right="339" w:bottom="1440" w:gutter="0" w:footer="0" w:header="0"/>
          <w:type w:val="continuous"/>
        </w:sectPr>
      </w:pP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by and among Quince Therapeutics,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Cantor Fitzgerald &amp; Co., and H.C. Wainwright &amp; Co., LLC (the “</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dated December 18, 2024, the Company hereby requests that [</w:t>
      </w:r>
      <w:r>
        <w:rPr>
          <w:rFonts w:ascii="Times New Roman" w:cs="Times New Roman" w:eastAsia="Times New Roman" w:hAnsi="Times New Roman"/>
          <w:sz w:val="22"/>
          <w:szCs w:val="22"/>
          <w:i w:val="1"/>
          <w:iCs w:val="1"/>
          <w:color w:val="auto"/>
        </w:rPr>
        <w:t>Identify Designated Agent</w:t>
      </w:r>
      <w:r>
        <w:rPr>
          <w:rFonts w:ascii="Times New Roman" w:cs="Times New Roman" w:eastAsia="Times New Roman" w:hAnsi="Times New Roman"/>
          <w:sz w:val="22"/>
          <w:szCs w:val="22"/>
          <w:color w:val="auto"/>
        </w:rPr>
        <w:t>] sell up to [•] of the Company’s common stock, par value $0.001 per share, at a minimum market price of $[•] per share, during the time period beginning [month, day, time] and ending [month, day, time].</w:t>
      </w:r>
    </w:p>
    <w:p>
      <w:pPr>
        <w:sectPr>
          <w:pgSz w:w="11900" w:h="16838" w:orient="portrait"/>
          <w:cols w:equalWidth="0" w:num="1">
            <w:col w:w="11240"/>
          </w:cols>
          <w:pgMar w:left="320" w:top="1418"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shall pay to the Designated Agent in cash, upon each sale of Placement Shares pursuant to this Agreement, an amount equal to 3.0% of the aggregate gross proceeds from each sale of Placement Shares.</w:t>
      </w:r>
    </w:p>
    <w:p>
      <w:pPr>
        <w:sectPr>
          <w:pgSz w:w="11900" w:h="16838" w:orient="portrait"/>
          <w:cols w:equalWidth="0" w:num="1">
            <w:col w:w="11240"/>
          </w:cols>
          <w:pgMar w:left="320" w:top="1418" w:right="339" w:bottom="1440" w:gutter="0" w:footer="0" w:header="0"/>
        </w:sectPr>
      </w:pPr>
    </w:p>
    <w:bookmarkStart w:id="114" w:name="page115"/>
    <w:bookmarkEnd w:id="114"/>
    <w:p>
      <w:pPr>
        <w:ind w:left="4940"/>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Dirk Thye ([***]@quincetx.com)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Brendan Hannah ([***]@quincetx.com)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Charles Ryan ([***]@quincetx.com)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Cantor Fitzgerald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Sameer Vasudev ([***]@cantor.com)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[***]@cantor.com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H.C. Wainwright &amp; Co.,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Cappuccio [***]@hcwco.com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Charles Worthman [***]@hcwco.com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 [***]@hcwco.com</w:t>
      </w:r>
    </w:p>
    <w:p>
      <w:pPr>
        <w:sectPr>
          <w:pgSz w:w="11900" w:h="16838" w:orient="portrait"/>
          <w:cols w:equalWidth="0" w:num="1">
            <w:col w:w="10139"/>
          </w:cols>
          <w:pgMar w:left="320" w:top="1418" w:right="1440" w:bottom="1440" w:gutter="0" w:footer="0" w:header="0"/>
        </w:sectPr>
      </w:pPr>
    </w:p>
    <w:bookmarkStart w:id="115" w:name="page116"/>
    <w:bookmarkEnd w:id="115"/>
    <w:p>
      <w:pPr>
        <w:ind w:left="4940"/>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Subsidiaries</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Incorporated by reference to Exhibit 21.1 of the Company’s most recently filed Form 10-K, as applicable.</w:t>
      </w:r>
    </w:p>
    <w:p>
      <w:pPr>
        <w:sectPr>
          <w:pgSz w:w="11900" w:h="16838" w:orient="portrait"/>
          <w:cols w:equalWidth="0" w:num="1">
            <w:col w:w="10139"/>
          </w:cols>
          <w:pgMar w:left="320" w:top="1418"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Representation Date Certificate Pursuant to Section 7(l)</w:t>
      </w:r>
    </w:p>
    <w:p>
      <w:pPr>
        <w:spacing w:after="0" w:line="17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22"/>
          <w:szCs w:val="22"/>
          <w:color w:val="auto"/>
        </w:rPr>
        <w:t>The undersigned, the duly qualified and elected [•], of Quince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does hereby certify in such capacity and on behalf of the Company,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of the Sales Agreement, dated December 18, 2024 (the “</w:t>
      </w:r>
      <w:r>
        <w:rPr>
          <w:rFonts w:ascii="Times New Roman" w:cs="Times New Roman" w:eastAsia="Times New Roman" w:hAnsi="Times New Roman"/>
          <w:sz w:val="22"/>
          <w:szCs w:val="22"/>
          <w:u w:val="single" w:color="auto"/>
          <w:color w:val="auto"/>
        </w:rPr>
        <w:t>Sales Agreement</w:t>
      </w:r>
      <w:r>
        <w:rPr>
          <w:rFonts w:ascii="Times New Roman" w:cs="Times New Roman" w:eastAsia="Times New Roman" w:hAnsi="Times New Roman"/>
          <w:sz w:val="22"/>
          <w:szCs w:val="22"/>
          <w:color w:val="auto"/>
        </w:rPr>
        <w:t>”), by and among the Company and Cantor Fitzgerald &amp; Co. and H.C. Wainwright &amp; Co., LLC, that to the best of the knowledge of the undersigned:</w:t>
      </w:r>
    </w:p>
    <w:p>
      <w:pPr>
        <w:spacing w:after="0" w:line="122" w:lineRule="exact"/>
        <w:rPr>
          <w:sz w:val="20"/>
          <w:szCs w:val="20"/>
          <w:color w:val="auto"/>
        </w:rPr>
      </w:pPr>
    </w:p>
    <w:p>
      <w:pPr>
        <w:ind w:right="80" w:firstLine="494"/>
        <w:spacing w:after="0" w:line="249" w:lineRule="auto"/>
        <w:tabs>
          <w:tab w:leader="none" w:pos="7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representations and warranties also shall be qualified by the disclosure included or incorporated by reference in the Registration Statement and Prospectus; and</w:t>
      </w:r>
    </w:p>
    <w:p>
      <w:pPr>
        <w:spacing w:after="0" w:line="129" w:lineRule="exact"/>
        <w:rPr>
          <w:rFonts w:ascii="Times New Roman" w:cs="Times New Roman" w:eastAsia="Times New Roman" w:hAnsi="Times New Roman"/>
          <w:sz w:val="22"/>
          <w:szCs w:val="22"/>
          <w:color w:val="auto"/>
        </w:rPr>
      </w:pPr>
    </w:p>
    <w:p>
      <w:pPr>
        <w:ind w:right="520" w:firstLine="494"/>
        <w:spacing w:after="0" w:line="271" w:lineRule="auto"/>
        <w:tabs>
          <w:tab w:leader="none" w:pos="80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104"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22"/>
          <w:szCs w:val="22"/>
          <w:color w:val="auto"/>
        </w:rPr>
        <w:t>Cooley LLP and Duane Morris LLP shall be entitled to rely on the representations and warranties made herein for purposes of rendering its legal opinion and negative assurance letter pursuant to Section 7(m) of the Sales Agreement. Capitalized terms used herein without definition shall have the meanings given to such terms in the Sales Agreement.</w:t>
      </w: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QUINCE THERAPEUTICS, INC.</w:t>
      </w:r>
    </w:p>
    <w:p>
      <w:pPr>
        <w:spacing w:after="0" w:line="200" w:lineRule="exact"/>
        <w:rPr>
          <w:sz w:val="20"/>
          <w:szCs w:val="20"/>
          <w:color w:val="auto"/>
        </w:rPr>
      </w:pPr>
    </w:p>
    <w:p>
      <w:pPr>
        <w:spacing w:after="0" w:line="2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165100</wp:posOffset>
            </wp:positionV>
            <wp:extent cx="3531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165100</wp:posOffset>
            </wp:positionV>
            <wp:extent cx="3257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165100</wp:posOffset>
            </wp:positionV>
            <wp:extent cx="3377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w:t>
      </w:r>
    </w:p>
    <w:p>
      <w:pPr>
        <w:sectPr>
          <w:pgSz w:w="11900" w:h="16838" w:orient="portrait"/>
          <w:cols w:equalWidth="0" w:num="1">
            <w:col w:w="11240"/>
          </w:cols>
          <w:pgMar w:left="320" w:top="1418" w:right="339" w:bottom="1440" w:gutter="0" w:footer="0" w:header="0"/>
        </w:sectPr>
      </w:pPr>
    </w:p>
    <w:bookmarkStart w:id="117" w:name="page118"/>
    <w:bookmarkEnd w:id="117"/>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21</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Permitted Free Writing Prospectus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18"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QUINCE THERAPEUTICS, INC.,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Iss</w:t>
      </w:r>
      <w:r>
        <w:rPr>
          <w:rFonts w:ascii="Times New Roman" w:cs="Times New Roman" w:eastAsia="Times New Roman" w:hAnsi="Times New Roman"/>
          <w:sz w:val="22"/>
          <w:szCs w:val="22"/>
          <w:color w:val="auto"/>
        </w:rPr>
        <w:t>u</w:t>
      </w:r>
      <w:r>
        <w:rPr>
          <w:rFonts w:ascii="Times New Roman" w:cs="Times New Roman" w:eastAsia="Times New Roman" w:hAnsi="Times New Roman"/>
          <w:sz w:val="22"/>
          <w:szCs w:val="22"/>
          <w:b w:val="1"/>
          <w:bCs w:val="1"/>
          <w:color w:val="auto"/>
        </w:rPr>
        <w:t>er</w:t>
      </w:r>
    </w:p>
    <w:p>
      <w:pPr>
        <w:spacing w:after="0" w:line="19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3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INDENTURE</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 20__</w:t>
      </w:r>
    </w:p>
    <w:p>
      <w:pPr>
        <w:spacing w:after="0" w:line="2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Debt Securities</w:t>
      </w:r>
    </w:p>
    <w:p>
      <w:pPr>
        <w:sectPr>
          <w:pgSz w:w="11900" w:h="16838" w:orient="portrait"/>
          <w:cols w:equalWidth="0" w:num="1">
            <w:col w:w="10120"/>
          </w:cols>
          <w:pgMar w:left="1440" w:top="1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6"/>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1</w:t>
            </w: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DEFINITIONS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1.01</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Definitions of Terms.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5"/>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2</w:t>
            </w: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ISSUE, DESCRIPTION, TERMS, EXECUTION, REGISTRATION AND EXCHANGE OF</w:t>
            </w:r>
          </w:p>
        </w:tc>
        <w:tc>
          <w:tcPr>
            <w:tcW w:w="940" w:type="dxa"/>
            <w:vAlign w:val="bottom"/>
          </w:tcPr>
          <w:p>
            <w:pPr>
              <w:spacing w:after="0"/>
              <w:rPr>
                <w:sz w:val="24"/>
                <w:szCs w:val="24"/>
                <w:color w:val="auto"/>
              </w:rPr>
            </w:pPr>
          </w:p>
        </w:tc>
      </w:tr>
      <w:tr>
        <w:trPr>
          <w:trHeight w:val="296"/>
        </w:trPr>
        <w:tc>
          <w:tcPr>
            <w:tcW w:w="1380" w:type="dxa"/>
            <w:vAlign w:val="bottom"/>
          </w:tcPr>
          <w:p>
            <w:pPr>
              <w:spacing w:after="0"/>
              <w:rPr>
                <w:sz w:val="24"/>
                <w:szCs w:val="24"/>
                <w:color w:val="auto"/>
              </w:rPr>
            </w:pP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2.01</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Designation and Terms of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2.02</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Form of Securities and Trustee’s Certificate.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2.03</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Denominations: Provisions for Payment.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2.04</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Execution and Authentications.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2.05</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Registration of Transfer and Exchange.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2.06</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Temporary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2.07</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Mutilated, Destroyed, Lost or Stolen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2.08</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Cancellation.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2.09</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Benefits of Indenture.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2.10</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Authenticating Agent.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2.11</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Global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2.12</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CUSIP Numbers.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3</w:t>
            </w: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REDEMPTION OF SECURITIES AND SINKING FUND PROVISIONS</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3.01</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3.02</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 of 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3.03</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Payment Upon 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3.04</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Sinking Fund.</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3.05</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Satisfaction of Sinking Fund Payments with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3.06</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Redemption of Securities for Sinking Fund.</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24"/>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4</w:t>
            </w: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COVENANTS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4.01</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Payment of Principal, Premium and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4.02</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Maintenance of Office or Agency.</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4.03</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Paying Agents.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4.04</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Appointment to Fill Vacancy in Office of Trustee.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5</w:t>
            </w: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SECURITYHOLDERS’ LISTS AND REPORTS BY THE COMPANY AND THE TRUSTEE</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5.01</w:t>
            </w:r>
          </w:p>
        </w:tc>
        <w:tc>
          <w:tcPr>
            <w:tcW w:w="8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Company to Furnish Trustee Names and Addresses of Securityholders.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00"/>
          </w:cols>
          <w:pgMar w:left="340" w:top="122" w:right="3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6"/>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5.02</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Preservation Of Information; Communications With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5.03</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Reports by the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5.04</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Reports by the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6</w:t>
            </w:r>
          </w:p>
        </w:tc>
        <w:tc>
          <w:tcPr>
            <w:tcW w:w="87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REMEDIES OF THE TRUSTEE AND SECURITYHOLDERS ON EVENT OF DEFAULT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6.01</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Events of Default.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6.02</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Collection of Indebtedness and Suits for Enforcement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6.03</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Application of Moneys Collected.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6.04</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Limitation on Suits.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6.05</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Rights and Remedies Cumulative; Delay or Omission Not Waiver.</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6.06</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Control by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6.07</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Undertaking to Pay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24"/>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7</w:t>
            </w:r>
          </w:p>
        </w:tc>
        <w:tc>
          <w:tcPr>
            <w:tcW w:w="87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CONCERNING THE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7.01</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Certain Duties and Responsibilities of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7.02</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Certain Rights of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7.03</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Trustee Not Responsible for Recitals or Issuance or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7.04</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May Hold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7.05</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Moneys Held in Trust.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7.06</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Compensation and Reimbursement.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7.07</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Reliance on Officer’s Certificate.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7.08</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Disqualification; Conflicting Interests.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7.09</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Corporate Trustee Required; Eligibility.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7.10</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Resignation and Removal; Appointment of Successor.</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7.11</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Acceptance of Appointment By Successor.</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7.12</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Merger, Conversion, Consolidation or Succession to Business.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7.13</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Preferential Collection of Claims Against the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7.14</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 of Default.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24"/>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8</w:t>
            </w:r>
          </w:p>
        </w:tc>
        <w:tc>
          <w:tcPr>
            <w:tcW w:w="87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CONCERNING THE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8.01</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Evidence of Action by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8.02</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Proof of Execution by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8.03</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Who May be Deemed Owners.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8.04</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Certain Securities Owned by Company Disregarded.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24"/>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8.05</w:t>
            </w:r>
          </w:p>
        </w:tc>
        <w:tc>
          <w:tcPr>
            <w:tcW w:w="7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Actions Binding on Future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00"/>
          </w:cols>
          <w:pgMar w:left="340" w:top="122" w:right="359" w:bottom="1440" w:gutter="0" w:footer="0" w:header="0"/>
          <w:type w:val="continuous"/>
        </w:sectPr>
      </w:pPr>
    </w:p>
    <w:bookmarkStart w:id="121" w:name="page122"/>
    <w:bookmarkEnd w:id="121"/>
    <w:p>
      <w:pPr>
        <w:jc w:val="center"/>
        <w:ind w:left="13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ARTICLE 9</w:t>
            </w:r>
          </w:p>
        </w:tc>
        <w:tc>
          <w:tcPr>
            <w:tcW w:w="68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SUPPLEMENTAL INDENTURES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9.01</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Supplemental Indentures Without the Consent of Securityholders.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9.02</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Supplemental Indentures With Consent of Securityholders.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9.03</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Supplemental Indentures.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9.04</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Securities Affected by Supplemental Indentures.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9.05</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Execution of Supplemental Indentures.</w:t>
            </w:r>
          </w:p>
        </w:tc>
      </w:tr>
      <w:tr>
        <w:trPr>
          <w:trHeight w:val="324"/>
        </w:trPr>
        <w:tc>
          <w:tcPr>
            <w:tcW w:w="8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10 SUCCESSOR ENTITY</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10.01</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May Consolidate, Etc.</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10.02</w:t>
            </w:r>
          </w:p>
        </w:tc>
        <w:tc>
          <w:tcPr>
            <w:tcW w:w="5940" w:type="dxa"/>
            <w:vAlign w:val="bottom"/>
          </w:tcPr>
          <w:p>
            <w:pPr>
              <w:ind w:left="260"/>
              <w:spacing w:after="0"/>
              <w:rPr>
                <w:sz w:val="20"/>
                <w:szCs w:val="20"/>
                <w:color w:val="auto"/>
              </w:rPr>
            </w:pPr>
            <w:r>
              <w:rPr>
                <w:rFonts w:ascii="Arial" w:cs="Arial" w:eastAsia="Arial" w:hAnsi="Arial"/>
                <w:sz w:val="18"/>
                <w:szCs w:val="18"/>
                <w:color w:val="auto"/>
              </w:rPr>
              <w:t>Successor Entity Substituted.</w:t>
            </w:r>
          </w:p>
        </w:tc>
      </w:tr>
      <w:tr>
        <w:trPr>
          <w:trHeight w:val="324"/>
        </w:trPr>
        <w:tc>
          <w:tcPr>
            <w:tcW w:w="8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11 SATISFACTION AND DISCHARGE</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11.01</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Satisfaction and Discharge of Indenture.</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11.02</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Obligations.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11.03</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Deposited Moneys to be Held in Trust.</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11.04</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Moneys Held by Paying Agents.</w:t>
            </w:r>
          </w:p>
        </w:tc>
      </w:tr>
      <w:tr>
        <w:trPr>
          <w:trHeight w:val="324"/>
        </w:trPr>
        <w:tc>
          <w:tcPr>
            <w:tcW w:w="230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Section 11.05</w:t>
            </w:r>
          </w:p>
        </w:tc>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to Company.</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12 IMMUNITY OF INCORPORATORS, STOCKHOLDERS, OFFICERS AND DIRECTORS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12.01</w:t>
            </w:r>
          </w:p>
        </w:tc>
        <w:tc>
          <w:tcPr>
            <w:tcW w:w="4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Recourse.</w:t>
            </w:r>
          </w:p>
        </w:tc>
      </w:tr>
      <w:tr>
        <w:trPr>
          <w:trHeight w:val="324"/>
        </w:trPr>
        <w:tc>
          <w:tcPr>
            <w:tcW w:w="6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13 MISCELLANEOUS PROVISIONS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13.01</w:t>
            </w:r>
          </w:p>
        </w:tc>
        <w:tc>
          <w:tcPr>
            <w:tcW w:w="4520" w:type="dxa"/>
            <w:vAlign w:val="bottom"/>
          </w:tcPr>
          <w:p>
            <w:pPr>
              <w:ind w:left="260"/>
              <w:spacing w:after="0"/>
              <w:rPr>
                <w:sz w:val="20"/>
                <w:szCs w:val="20"/>
                <w:color w:val="auto"/>
              </w:rPr>
            </w:pPr>
            <w:r>
              <w:rPr>
                <w:rFonts w:ascii="Arial" w:cs="Arial" w:eastAsia="Arial" w:hAnsi="Arial"/>
                <w:sz w:val="18"/>
                <w:szCs w:val="18"/>
                <w:color w:val="auto"/>
              </w:rPr>
              <w:t>Effect on Successors and Assigns.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13.02</w:t>
            </w:r>
          </w:p>
        </w:tc>
        <w:tc>
          <w:tcPr>
            <w:tcW w:w="4520" w:type="dxa"/>
            <w:vAlign w:val="bottom"/>
          </w:tcPr>
          <w:p>
            <w:pPr>
              <w:ind w:left="260"/>
              <w:spacing w:after="0"/>
              <w:rPr>
                <w:sz w:val="20"/>
                <w:szCs w:val="20"/>
                <w:color w:val="auto"/>
              </w:rPr>
            </w:pPr>
            <w:r>
              <w:rPr>
                <w:rFonts w:ascii="Arial" w:cs="Arial" w:eastAsia="Arial" w:hAnsi="Arial"/>
                <w:sz w:val="18"/>
                <w:szCs w:val="18"/>
                <w:color w:val="auto"/>
              </w:rPr>
              <w:t>Actions by Successor.</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13.03</w:t>
            </w:r>
          </w:p>
        </w:tc>
        <w:tc>
          <w:tcPr>
            <w:tcW w:w="4520" w:type="dxa"/>
            <w:vAlign w:val="bottom"/>
          </w:tcPr>
          <w:p>
            <w:pPr>
              <w:ind w:left="260"/>
              <w:spacing w:after="0"/>
              <w:rPr>
                <w:sz w:val="20"/>
                <w:szCs w:val="20"/>
                <w:color w:val="auto"/>
              </w:rPr>
            </w:pPr>
            <w:r>
              <w:rPr>
                <w:rFonts w:ascii="Arial" w:cs="Arial" w:eastAsia="Arial" w:hAnsi="Arial"/>
                <w:sz w:val="18"/>
                <w:szCs w:val="18"/>
                <w:color w:val="auto"/>
              </w:rPr>
              <w:t>Surrender of Company Powers.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13.04</w:t>
            </w:r>
          </w:p>
        </w:tc>
        <w:tc>
          <w:tcPr>
            <w:tcW w:w="4520" w:type="dxa"/>
            <w:vAlign w:val="bottom"/>
          </w:tcPr>
          <w:p>
            <w:pPr>
              <w:ind w:left="260"/>
              <w:spacing w:after="0"/>
              <w:rPr>
                <w:sz w:val="20"/>
                <w:szCs w:val="20"/>
                <w:color w:val="auto"/>
              </w:rPr>
            </w:pPr>
            <w:r>
              <w:rPr>
                <w:rFonts w:ascii="Arial" w:cs="Arial" w:eastAsia="Arial" w:hAnsi="Arial"/>
                <w:sz w:val="18"/>
                <w:szCs w:val="18"/>
                <w:color w:val="auto"/>
              </w:rPr>
              <w:t>Notices.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13.05</w:t>
            </w:r>
          </w:p>
        </w:tc>
        <w:tc>
          <w:tcPr>
            <w:tcW w:w="4520" w:type="dxa"/>
            <w:vAlign w:val="bottom"/>
          </w:tcPr>
          <w:p>
            <w:pPr>
              <w:ind w:left="260"/>
              <w:spacing w:after="0"/>
              <w:rPr>
                <w:sz w:val="20"/>
                <w:szCs w:val="20"/>
                <w:color w:val="auto"/>
              </w:rPr>
            </w:pPr>
            <w:r>
              <w:rPr>
                <w:rFonts w:ascii="Arial" w:cs="Arial" w:eastAsia="Arial" w:hAnsi="Arial"/>
                <w:sz w:val="18"/>
                <w:szCs w:val="18"/>
                <w:color w:val="auto"/>
              </w:rPr>
              <w:t>Governing Law; Jury Trial Waiver.</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13.06</w:t>
            </w:r>
          </w:p>
        </w:tc>
        <w:tc>
          <w:tcPr>
            <w:tcW w:w="4520" w:type="dxa"/>
            <w:vAlign w:val="bottom"/>
          </w:tcPr>
          <w:p>
            <w:pPr>
              <w:ind w:left="260"/>
              <w:spacing w:after="0"/>
              <w:rPr>
                <w:sz w:val="20"/>
                <w:szCs w:val="20"/>
                <w:color w:val="auto"/>
              </w:rPr>
            </w:pPr>
            <w:r>
              <w:rPr>
                <w:rFonts w:ascii="Arial" w:cs="Arial" w:eastAsia="Arial" w:hAnsi="Arial"/>
                <w:sz w:val="18"/>
                <w:szCs w:val="18"/>
                <w:color w:val="auto"/>
              </w:rPr>
              <w:t>Treatment of Securities as Debt.</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13.07</w:t>
            </w:r>
          </w:p>
        </w:tc>
        <w:tc>
          <w:tcPr>
            <w:tcW w:w="4520" w:type="dxa"/>
            <w:vAlign w:val="bottom"/>
          </w:tcPr>
          <w:p>
            <w:pPr>
              <w:ind w:left="260"/>
              <w:spacing w:after="0"/>
              <w:rPr>
                <w:sz w:val="20"/>
                <w:szCs w:val="20"/>
                <w:color w:val="auto"/>
              </w:rPr>
            </w:pPr>
            <w:r>
              <w:rPr>
                <w:rFonts w:ascii="Arial" w:cs="Arial" w:eastAsia="Arial" w:hAnsi="Arial"/>
                <w:sz w:val="18"/>
                <w:szCs w:val="18"/>
                <w:color w:val="auto"/>
                <w:w w:val="99"/>
              </w:rPr>
              <w:t>Certificates and Opinions as to Conditions Precedent.</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13.08</w:t>
            </w:r>
          </w:p>
        </w:tc>
        <w:tc>
          <w:tcPr>
            <w:tcW w:w="4520" w:type="dxa"/>
            <w:vAlign w:val="bottom"/>
          </w:tcPr>
          <w:p>
            <w:pPr>
              <w:ind w:left="260"/>
              <w:spacing w:after="0"/>
              <w:rPr>
                <w:sz w:val="20"/>
                <w:szCs w:val="20"/>
                <w:color w:val="auto"/>
              </w:rPr>
            </w:pPr>
            <w:r>
              <w:rPr>
                <w:rFonts w:ascii="Arial" w:cs="Arial" w:eastAsia="Arial" w:hAnsi="Arial"/>
                <w:sz w:val="18"/>
                <w:szCs w:val="18"/>
                <w:color w:val="auto"/>
              </w:rPr>
              <w:t>Payments on Business Days.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13.09</w:t>
            </w:r>
          </w:p>
        </w:tc>
        <w:tc>
          <w:tcPr>
            <w:tcW w:w="4520" w:type="dxa"/>
            <w:vAlign w:val="bottom"/>
          </w:tcPr>
          <w:p>
            <w:pPr>
              <w:ind w:left="260"/>
              <w:spacing w:after="0"/>
              <w:rPr>
                <w:sz w:val="20"/>
                <w:szCs w:val="20"/>
                <w:color w:val="auto"/>
              </w:rPr>
            </w:pPr>
            <w:r>
              <w:rPr>
                <w:rFonts w:ascii="Arial" w:cs="Arial" w:eastAsia="Arial" w:hAnsi="Arial"/>
                <w:sz w:val="18"/>
                <w:szCs w:val="18"/>
                <w:color w:val="auto"/>
              </w:rPr>
              <w:t>Conflict with Trust Indenture Act.</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13.10</w:t>
            </w:r>
          </w:p>
        </w:tc>
        <w:tc>
          <w:tcPr>
            <w:tcW w:w="4520" w:type="dxa"/>
            <w:vAlign w:val="bottom"/>
          </w:tcPr>
          <w:p>
            <w:pPr>
              <w:ind w:left="260"/>
              <w:spacing w:after="0"/>
              <w:rPr>
                <w:sz w:val="20"/>
                <w:szCs w:val="20"/>
                <w:color w:val="auto"/>
              </w:rPr>
            </w:pPr>
            <w:r>
              <w:rPr>
                <w:rFonts w:ascii="Arial" w:cs="Arial" w:eastAsia="Arial" w:hAnsi="Arial"/>
                <w:sz w:val="18"/>
                <w:szCs w:val="18"/>
                <w:color w:val="auto"/>
              </w:rPr>
              <w:t>Counterparts.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13.11</w:t>
            </w:r>
          </w:p>
        </w:tc>
        <w:tc>
          <w:tcPr>
            <w:tcW w:w="4520" w:type="dxa"/>
            <w:vAlign w:val="bottom"/>
          </w:tcPr>
          <w:p>
            <w:pPr>
              <w:ind w:left="260"/>
              <w:spacing w:after="0"/>
              <w:rPr>
                <w:sz w:val="20"/>
                <w:szCs w:val="20"/>
                <w:color w:val="auto"/>
              </w:rPr>
            </w:pPr>
            <w:r>
              <w:rPr>
                <w:rFonts w:ascii="Arial" w:cs="Arial" w:eastAsia="Arial" w:hAnsi="Arial"/>
                <w:sz w:val="18"/>
                <w:szCs w:val="18"/>
                <w:color w:val="auto"/>
              </w:rPr>
              <w:t>Separability.</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13.12</w:t>
            </w:r>
          </w:p>
        </w:tc>
        <w:tc>
          <w:tcPr>
            <w:tcW w:w="4520" w:type="dxa"/>
            <w:vAlign w:val="bottom"/>
          </w:tcPr>
          <w:p>
            <w:pPr>
              <w:ind w:left="260"/>
              <w:spacing w:after="0"/>
              <w:rPr>
                <w:sz w:val="20"/>
                <w:szCs w:val="20"/>
                <w:color w:val="auto"/>
              </w:rPr>
            </w:pPr>
            <w:r>
              <w:rPr>
                <w:rFonts w:ascii="Arial" w:cs="Arial" w:eastAsia="Arial" w:hAnsi="Arial"/>
                <w:sz w:val="18"/>
                <w:szCs w:val="18"/>
                <w:color w:val="auto"/>
              </w:rPr>
              <w:t>Compliance Certificates.</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13.13</w:t>
            </w:r>
          </w:p>
        </w:tc>
        <w:tc>
          <w:tcPr>
            <w:tcW w:w="4520" w:type="dxa"/>
            <w:vAlign w:val="bottom"/>
          </w:tcPr>
          <w:p>
            <w:pPr>
              <w:ind w:left="260"/>
              <w:spacing w:after="0"/>
              <w:rPr>
                <w:sz w:val="20"/>
                <w:szCs w:val="20"/>
                <w:color w:val="auto"/>
              </w:rPr>
            </w:pPr>
            <w:r>
              <w:rPr>
                <w:rFonts w:ascii="Arial" w:cs="Arial" w:eastAsia="Arial" w:hAnsi="Arial"/>
                <w:sz w:val="18"/>
                <w:szCs w:val="18"/>
                <w:color w:val="auto"/>
              </w:rPr>
              <w:t>U.S.A Patriot Act.</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13.14</w:t>
            </w:r>
          </w:p>
        </w:tc>
        <w:tc>
          <w:tcPr>
            <w:tcW w:w="4520" w:type="dxa"/>
            <w:vAlign w:val="bottom"/>
          </w:tcPr>
          <w:p>
            <w:pPr>
              <w:ind w:left="260"/>
              <w:spacing w:after="0"/>
              <w:rPr>
                <w:sz w:val="20"/>
                <w:szCs w:val="20"/>
                <w:color w:val="auto"/>
              </w:rPr>
            </w:pPr>
            <w:r>
              <w:rPr>
                <w:rFonts w:ascii="Arial" w:cs="Arial" w:eastAsia="Arial" w:hAnsi="Arial"/>
                <w:sz w:val="18"/>
                <w:szCs w:val="18"/>
                <w:color w:val="auto"/>
              </w:rPr>
              <w:t>Force Majeure.</w:t>
            </w:r>
          </w:p>
        </w:tc>
      </w:tr>
      <w:tr>
        <w:trPr>
          <w:trHeight w:val="324"/>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13.15</w:t>
            </w:r>
          </w:p>
        </w:tc>
        <w:tc>
          <w:tcPr>
            <w:tcW w:w="4520" w:type="dxa"/>
            <w:vAlign w:val="bottom"/>
          </w:tcPr>
          <w:p>
            <w:pPr>
              <w:ind w:left="260"/>
              <w:spacing w:after="0"/>
              <w:rPr>
                <w:sz w:val="20"/>
                <w:szCs w:val="20"/>
                <w:color w:val="auto"/>
              </w:rPr>
            </w:pPr>
            <w:r>
              <w:rPr>
                <w:rFonts w:ascii="Arial" w:cs="Arial" w:eastAsia="Arial" w:hAnsi="Arial"/>
                <w:sz w:val="18"/>
                <w:szCs w:val="18"/>
                <w:color w:val="auto"/>
              </w:rPr>
              <w:t>Table of Contents; Headings.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40</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41</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41</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41</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42</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42</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42</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43</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43</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44</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44</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44</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45</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45</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45</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46</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26" w:lineRule="exact"/>
        <w:rPr>
          <w:sz w:val="20"/>
          <w:szCs w:val="20"/>
          <w:color w:val="auto"/>
        </w:rPr>
      </w:pPr>
    </w:p>
    <w:p>
      <w:pPr>
        <w:sectPr>
          <w:pgSz w:w="11900" w:h="16838" w:orient="portrait"/>
          <w:cols w:equalWidth="0" w:num="2">
            <w:col w:w="9900" w:space="720"/>
            <w:col w:w="58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00"/>
          </w:cols>
          <w:pgMar w:left="340" w:top="122" w:right="35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2"/>
          <w:szCs w:val="22"/>
          <w:b w:val="1"/>
          <w:bCs w:val="1"/>
          <w:color w:val="auto"/>
        </w:rPr>
        <w:t>INDENTURE</w:t>
      </w:r>
    </w:p>
    <w:p>
      <w:pPr>
        <w:spacing w:after="0" w:line="200" w:lineRule="exact"/>
        <w:rPr>
          <w:sz w:val="20"/>
          <w:szCs w:val="20"/>
          <w:color w:val="auto"/>
        </w:rPr>
      </w:pPr>
    </w:p>
    <w:p>
      <w:pPr>
        <w:spacing w:after="0" w:line="236" w:lineRule="exact"/>
        <w:rPr>
          <w:sz w:val="20"/>
          <w:szCs w:val="20"/>
          <w:color w:val="auto"/>
        </w:rPr>
      </w:pPr>
    </w:p>
    <w:p>
      <w:pPr>
        <w:ind w:right="10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dated as of [], 20__, among</w:t>
      </w:r>
      <w:r>
        <w:rPr>
          <w:rFonts w:ascii="Times New Roman" w:cs="Times New Roman" w:eastAsia="Times New Roman" w:hAnsi="Times New Roman"/>
          <w:sz w:val="22"/>
          <w:szCs w:val="22"/>
          <w:b w:val="1"/>
          <w:bCs w:val="1"/>
          <w:color w:val="auto"/>
        </w:rPr>
        <w:t xml:space="preserve"> QUINCE THERAPEUTICS, INC.</w:t>
      </w:r>
      <w:r>
        <w:rPr>
          <w:rFonts w:ascii="Times New Roman" w:cs="Times New Roman" w:eastAsia="Times New Roman" w:hAnsi="Times New Roman"/>
          <w:sz w:val="22"/>
          <w:szCs w:val="22"/>
          <w:color w:val="auto"/>
        </w:rPr>
        <w:t>, a Delaware corporation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as trustee (the “Trustee”):</w:t>
      </w:r>
    </w:p>
    <w:p>
      <w:pPr>
        <w:spacing w:after="0" w:line="163" w:lineRule="exact"/>
        <w:rPr>
          <w:sz w:val="20"/>
          <w:szCs w:val="20"/>
          <w:color w:val="auto"/>
        </w:rPr>
      </w:pPr>
    </w:p>
    <w:p>
      <w:pPr>
        <w:ind w:right="48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for its lawful corporate purposes, the Company has duly authorized the execution and delivery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5"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to provide the terms and conditions upon which the Securities are to be authenticated, issued and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duly authorized the execution of this Indenture; and</w:t>
      </w:r>
    </w:p>
    <w:p>
      <w:pPr>
        <w:spacing w:after="0" w:line="137"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things necessary to make this Indenture a valid agreement of the Company, in accordance with its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done.</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purchase of the Securities by the holders thereof,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covenanted and agreed as follows for the equal and ratable benefit of the holders of Securities:</w:t>
      </w:r>
    </w:p>
    <w:p>
      <w:pPr>
        <w:spacing w:after="0" w:line="14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Definitions of Terms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Authenticating Agent</w:t>
      </w:r>
      <w:r>
        <w:rPr>
          <w:rFonts w:ascii="Times New Roman" w:cs="Times New Roman" w:eastAsia="Times New Roman" w:hAnsi="Times New Roman"/>
          <w:sz w:val="22"/>
          <w:szCs w:val="22"/>
          <w:color w:val="auto"/>
        </w:rPr>
        <w:t>” means the Trustee or an authenticating agent with respect to all or any of the series of Securities appointed by the Trustee pursuant to Section 2.10.</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Bankruptcy Law</w:t>
      </w:r>
      <w:r>
        <w:rPr>
          <w:rFonts w:ascii="Times New Roman" w:cs="Times New Roman" w:eastAsia="Times New Roman" w:hAnsi="Times New Roman"/>
          <w:sz w:val="22"/>
          <w:szCs w:val="22"/>
          <w:color w:val="auto"/>
        </w:rPr>
        <w:t>” means Title 11, U.S. Code, or any similar federal or state law for the relief of debtors.</w:t>
      </w:r>
    </w:p>
    <w:p>
      <w:pPr>
        <w:spacing w:after="0" w:line="22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means the Board of Directors (or the functional equivalent thereof) of the Company or any duly authorized committee of such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23" w:name="page124"/>
    <w:bookmarkEnd w:id="123"/>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Resolution</w:t>
      </w:r>
      <w:r>
        <w:rPr>
          <w:rFonts w:ascii="Times New Roman" w:cs="Times New Roman" w:eastAsia="Times New Roman" w:hAnsi="Times New Roman"/>
          <w:sz w:val="22"/>
          <w:szCs w:val="22"/>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7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5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Quince Therapeutics, Inc., a corporation duly organized and existing under the laws of the State of Delaware, and, subject to the provisions of Article Ten, shall also include its successors and assigns.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Corporate Trust Office</w:t>
      </w:r>
      <w:r>
        <w:rPr>
          <w:rFonts w:ascii="Times New Roman" w:cs="Times New Roman" w:eastAsia="Times New Roman" w:hAnsi="Times New Roman"/>
          <w:sz w:val="21"/>
          <w:szCs w:val="21"/>
          <w:color w:val="auto"/>
        </w:rPr>
        <w:t>” means the office of the Trustee at which, at any particular time, its corporate trust business shall</w:t>
      </w:r>
    </w:p>
    <w:p>
      <w:pPr>
        <w:spacing w:after="0" w:line="45" w:lineRule="exact"/>
        <w:rPr>
          <w:sz w:val="20"/>
          <w:szCs w:val="20"/>
          <w:color w:val="auto"/>
        </w:rPr>
      </w:pPr>
    </w:p>
    <w:p>
      <w:pPr>
        <w:spacing w:after="0"/>
        <w:tabs>
          <w:tab w:leader="none" w:pos="700" w:val="left"/>
          <w:tab w:leader="none" w:pos="2160" w:val="left"/>
          <w:tab w:leader="none" w:pos="3840" w:val="left"/>
          <w:tab w:leader="none" w:pos="4880" w:val="left"/>
          <w:tab w:leader="none" w:pos="5880" w:val="left"/>
          <w:tab w:leader="none" w:pos="6560" w:val="left"/>
          <w:tab w:leader="none" w:pos="7320" w:val="left"/>
          <w:tab w:leader="none" w:pos="8200" w:val="left"/>
          <w:tab w:leader="none" w:pos="9260" w:val="left"/>
          <w:tab w:leader="none" w:pos="9920" w:val="left"/>
          <w:tab w:leader="none" w:pos="11060" w:val="left"/>
        </w:tabs>
        <w:rPr>
          <w:sz w:val="20"/>
          <w:szCs w:val="20"/>
          <w:color w:val="auto"/>
        </w:rPr>
      </w:pPr>
      <w:r>
        <w:rPr>
          <w:rFonts w:ascii="Times New Roman" w:cs="Times New Roman" w:eastAsia="Times New Roman" w:hAnsi="Times New Roman"/>
          <w:sz w:val="22"/>
          <w:szCs w:val="22"/>
          <w:color w:val="auto"/>
        </w:rPr>
        <w:t>be</w:t>
      </w:r>
      <w:r>
        <w:rPr>
          <w:sz w:val="20"/>
          <w:szCs w:val="20"/>
          <w:color w:val="auto"/>
        </w:rPr>
        <w:tab/>
      </w:r>
      <w:r>
        <w:rPr>
          <w:rFonts w:ascii="Times New Roman" w:cs="Times New Roman" w:eastAsia="Times New Roman" w:hAnsi="Times New Roman"/>
          <w:sz w:val="22"/>
          <w:szCs w:val="22"/>
          <w:color w:val="auto"/>
        </w:rPr>
        <w:t>principally</w:t>
      </w:r>
      <w:r>
        <w:rPr>
          <w:sz w:val="20"/>
          <w:szCs w:val="20"/>
          <w:color w:val="auto"/>
        </w:rPr>
        <w:tab/>
      </w:r>
      <w:r>
        <w:rPr>
          <w:rFonts w:ascii="Times New Roman" w:cs="Times New Roman" w:eastAsia="Times New Roman" w:hAnsi="Times New Roman"/>
          <w:sz w:val="22"/>
          <w:szCs w:val="22"/>
          <w:color w:val="auto"/>
        </w:rPr>
        <w:t>administered,</w:t>
      </w:r>
      <w:r>
        <w:rPr>
          <w:sz w:val="20"/>
          <w:szCs w:val="20"/>
          <w:color w:val="auto"/>
        </w:rPr>
        <w:tab/>
      </w:r>
      <w:r>
        <w:rPr>
          <w:rFonts w:ascii="Times New Roman" w:cs="Times New Roman" w:eastAsia="Times New Roman" w:hAnsi="Times New Roman"/>
          <w:sz w:val="22"/>
          <w:szCs w:val="22"/>
          <w:color w:val="auto"/>
        </w:rPr>
        <w:t>which</w:t>
      </w:r>
      <w:r>
        <w:rPr>
          <w:sz w:val="20"/>
          <w:szCs w:val="20"/>
          <w:color w:val="auto"/>
        </w:rPr>
        <w:tab/>
      </w:r>
      <w:r>
        <w:rPr>
          <w:rFonts w:ascii="Times New Roman" w:cs="Times New Roman" w:eastAsia="Times New Roman" w:hAnsi="Times New Roman"/>
          <w:sz w:val="22"/>
          <w:szCs w:val="22"/>
          <w:color w:val="auto"/>
        </w:rPr>
        <w:t>office</w:t>
      </w:r>
      <w:r>
        <w:rPr>
          <w:sz w:val="20"/>
          <w:szCs w:val="20"/>
          <w:color w:val="auto"/>
        </w:rPr>
        <w:tab/>
      </w:r>
      <w:r>
        <w:rPr>
          <w:rFonts w:ascii="Times New Roman" w:cs="Times New Roman" w:eastAsia="Times New Roman" w:hAnsi="Times New Roman"/>
          <w:sz w:val="22"/>
          <w:szCs w:val="22"/>
          <w:color w:val="auto"/>
        </w:rPr>
        <w:t>at</w:t>
      </w:r>
      <w:r>
        <w:rPr>
          <w:sz w:val="20"/>
          <w:szCs w:val="20"/>
          <w:color w:val="auto"/>
        </w:rPr>
        <w:tab/>
      </w:r>
      <w:r>
        <w:rPr>
          <w:rFonts w:ascii="Times New Roman" w:cs="Times New Roman" w:eastAsia="Times New Roman" w:hAnsi="Times New Roman"/>
          <w:sz w:val="22"/>
          <w:szCs w:val="22"/>
          <w:color w:val="auto"/>
        </w:rPr>
        <w:t>the</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hereof</w:t>
      </w:r>
      <w:r>
        <w:rPr>
          <w:sz w:val="20"/>
          <w:szCs w:val="20"/>
          <w:color w:val="auto"/>
        </w:rPr>
        <w:tab/>
      </w:r>
      <w:r>
        <w:rPr>
          <w:rFonts w:ascii="Times New Roman" w:cs="Times New Roman" w:eastAsia="Times New Roman" w:hAnsi="Times New Roman"/>
          <w:sz w:val="22"/>
          <w:szCs w:val="22"/>
          <w:color w:val="auto"/>
        </w:rPr>
        <w:t>is</w:t>
      </w:r>
      <w:r>
        <w:rPr>
          <w:sz w:val="20"/>
          <w:szCs w:val="20"/>
          <w:color w:val="auto"/>
        </w:rPr>
        <w:tab/>
      </w:r>
      <w:r>
        <w:rPr>
          <w:rFonts w:ascii="Times New Roman" w:cs="Times New Roman" w:eastAsia="Times New Roman" w:hAnsi="Times New Roman"/>
          <w:sz w:val="22"/>
          <w:szCs w:val="22"/>
          <w:color w:val="auto"/>
        </w:rPr>
        <w:t>located</w:t>
      </w:r>
      <w:r>
        <w:rPr>
          <w:sz w:val="20"/>
          <w:szCs w:val="20"/>
          <w:color w:val="auto"/>
        </w:rPr>
        <w:tab/>
      </w:r>
      <w:r>
        <w:rPr>
          <w:rFonts w:ascii="Times New Roman" w:cs="Times New Roman" w:eastAsia="Times New Roman" w:hAnsi="Times New Roman"/>
          <w:sz w:val="19"/>
          <w:szCs w:val="19"/>
          <w:color w:val="auto"/>
        </w:rPr>
        <w:t>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Custodian</w:t>
      </w:r>
      <w:r>
        <w:rPr>
          <w:rFonts w:ascii="Times New Roman" w:cs="Times New Roman" w:eastAsia="Times New Roman" w:hAnsi="Times New Roman"/>
          <w:sz w:val="22"/>
          <w:szCs w:val="22"/>
          <w:color w:val="auto"/>
        </w:rPr>
        <w:t>” means any receiver, trustee, assignee, liquidator or similar official under any Bankruptcy Law.</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Defaulted Interest</w:t>
      </w:r>
      <w:r>
        <w:rPr>
          <w:rFonts w:ascii="Times New Roman" w:cs="Times New Roman" w:eastAsia="Times New Roman" w:hAnsi="Times New Roman"/>
          <w:sz w:val="22"/>
          <w:szCs w:val="22"/>
          <w:color w:val="auto"/>
        </w:rPr>
        <w:t>” has the meaning set forth in Section 2.03.</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Depositary</w:t>
      </w:r>
      <w:r>
        <w:rPr>
          <w:rFonts w:ascii="Times New Roman" w:cs="Times New Roman" w:eastAsia="Times New Roman" w:hAnsi="Times New Roman"/>
          <w:sz w:val="22"/>
          <w:szCs w:val="22"/>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 means, with respect to Securities of a particular series, any event specified in Section 6.01, continued for the period of time, if any, therein designated.</w:t>
      </w:r>
    </w:p>
    <w:p>
      <w:pPr>
        <w:spacing w:after="0" w:line="1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United States Securities and Exchange Act of 1934, as amended, and the rules and regulations promulgated by the Commission thereunder.</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given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mailed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notify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sent</w:t>
      </w:r>
      <w:r>
        <w:rPr>
          <w:rFonts w:ascii="Times New Roman" w:cs="Times New Roman" w:eastAsia="Times New Roman" w:hAnsi="Times New Roman"/>
          <w:sz w:val="22"/>
          <w:szCs w:val="22"/>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“given” shall be deemed to include any notice to be “mailed” or “delivered,” as applicable, under this Indenture.</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Global Security</w:t>
      </w:r>
      <w:r>
        <w:rPr>
          <w:rFonts w:ascii="Times New Roman" w:cs="Times New Roman" w:eastAsia="Times New Roman" w:hAnsi="Times New Roman"/>
          <w:sz w:val="22"/>
          <w:szCs w:val="22"/>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Obligations</w:t>
      </w:r>
      <w:r>
        <w:rPr>
          <w:rFonts w:ascii="Times New Roman" w:cs="Times New Roman" w:eastAsia="Times New Roman" w:hAnsi="Times New Roman"/>
          <w:sz w:val="21"/>
          <w:szCs w:val="21"/>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hereof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i w:val="1"/>
          <w:iCs w:val="1"/>
          <w:color w:val="auto"/>
        </w:rPr>
        <w:t>hereunder</w:t>
      </w:r>
      <w:r>
        <w:rPr>
          <w:rFonts w:ascii="Times New Roman" w:cs="Times New Roman" w:eastAsia="Times New Roman" w:hAnsi="Times New Roman"/>
          <w:sz w:val="22"/>
          <w:szCs w:val="22"/>
          <w:color w:val="auto"/>
        </w:rPr>
        <w:t>”, and other words of similar import, refer to this Indenture as a whole and not to any particular Article, Section or other subdivision.</w:t>
      </w:r>
    </w:p>
    <w:p>
      <w:pPr>
        <w:spacing w:after="0" w:line="14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Indenture</w:t>
      </w:r>
      <w:r>
        <w:rPr>
          <w:rFonts w:ascii="Times New Roman" w:cs="Times New Roman" w:eastAsia="Times New Roman" w:hAnsi="Times New Roman"/>
          <w:sz w:val="22"/>
          <w:szCs w:val="22"/>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Payment Date</w:t>
      </w:r>
      <w:r>
        <w:rPr>
          <w:rFonts w:ascii="Times New Roman" w:cs="Times New Roman" w:eastAsia="Times New Roman" w:hAnsi="Times New Roman"/>
          <w:sz w:val="22"/>
          <w:szCs w:val="22"/>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6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Officer’s Certificate</w:t>
      </w:r>
      <w:r>
        <w:rPr>
          <w:rFonts w:ascii="Times New Roman" w:cs="Times New Roman" w:eastAsia="Times New Roman" w:hAnsi="Times New Roman"/>
          <w:sz w:val="22"/>
          <w:szCs w:val="22"/>
          <w:color w:val="auto"/>
        </w:rPr>
        <w:t>” means a certificate signed by any Officer. Each such certificate shall include the statements provided for in Section 13.07, if and to the extent required by the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5" w:name="page126"/>
    <w:bookmarkEnd w:id="125"/>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Opinion of Counsel</w:t>
      </w:r>
      <w:r>
        <w:rPr>
          <w:rFonts w:ascii="Times New Roman" w:cs="Times New Roman" w:eastAsia="Times New Roman" w:hAnsi="Times New Roman"/>
          <w:sz w:val="22"/>
          <w:szCs w:val="22"/>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Outstanding</w:t>
      </w:r>
      <w:r>
        <w:rPr>
          <w:rFonts w:ascii="Times New Roman" w:cs="Times New Roman" w:eastAsia="Times New Roman" w:hAnsi="Times New Roman"/>
          <w:sz w:val="22"/>
          <w:szCs w:val="22"/>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Predecessor Security</w:t>
      </w:r>
      <w:r>
        <w:rPr>
          <w:rFonts w:ascii="Times New Roman" w:cs="Times New Roman" w:eastAsia="Times New Roman" w:hAnsi="Times New Roman"/>
          <w:sz w:val="22"/>
          <w:szCs w:val="22"/>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Responsible Officer</w:t>
      </w:r>
      <w:r>
        <w:rPr>
          <w:rFonts w:ascii="Times New Roman" w:cs="Times New Roman" w:eastAsia="Times New Roman" w:hAnsi="Times New Roman"/>
          <w:sz w:val="22"/>
          <w:szCs w:val="22"/>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7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has the meaning stated in the first recital of this Indenture and more particularly means any Securities authenticated and delivered under this Indenture.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2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Securityholder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holder of Securities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registered holder</w:t>
      </w:r>
      <w:r>
        <w:rPr>
          <w:rFonts w:ascii="Times New Roman" w:cs="Times New Roman" w:eastAsia="Times New Roman" w:hAnsi="Times New Roman"/>
          <w:sz w:val="22"/>
          <w:szCs w:val="22"/>
          <w:color w:val="auto"/>
        </w:rPr>
        <w:t>”, or other similar term, means the Person or Persons in whose name or names a particular Security is registered on the Security Register kept for that purpose in accordance with the terms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6"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Security Register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Security Registrar</w:t>
      </w:r>
      <w:r>
        <w:rPr>
          <w:rFonts w:ascii="Times New Roman" w:cs="Times New Roman" w:eastAsia="Times New Roman" w:hAnsi="Times New Roman"/>
          <w:sz w:val="22"/>
          <w:szCs w:val="22"/>
          <w:color w:val="auto"/>
        </w:rPr>
        <w:t>” shall have the meanings as set forth in Section 2.05.</w:t>
      </w:r>
    </w:p>
    <w:p>
      <w:pPr>
        <w:spacing w:after="0" w:line="220"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Trustee</w:t>
      </w:r>
      <w:r>
        <w:rPr>
          <w:rFonts w:ascii="Times New Roman" w:cs="Times New Roman" w:eastAsia="Times New Roman" w:hAnsi="Times New Roman"/>
          <w:sz w:val="22"/>
          <w:szCs w:val="22"/>
          <w:color w:val="auto"/>
        </w:rPr>
        <w:t>” means _________________________, and, subject to the provisions of Article Seven, shall also include its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Trust Indenture Act</w:t>
      </w:r>
      <w:r>
        <w:rPr>
          <w:rFonts w:ascii="Times New Roman" w:cs="Times New Roman" w:eastAsia="Times New Roman" w:hAnsi="Times New Roman"/>
          <w:sz w:val="22"/>
          <w:szCs w:val="22"/>
          <w:color w:val="auto"/>
        </w:rPr>
        <w:t>” means the Trust Indenture Act of 1939, as amended.</w:t>
      </w:r>
    </w:p>
    <w:p>
      <w:pPr>
        <w:spacing w:after="0" w:line="22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“U.S.A. Patriot Act” </w:t>
      </w:r>
      <w:r>
        <w:rPr>
          <w:rFonts w:ascii="Times New Roman" w:cs="Times New Roman" w:eastAsia="Times New Roman" w:hAnsi="Times New Roman"/>
          <w:sz w:val="22"/>
          <w:szCs w:val="22"/>
          <w:color w:val="auto"/>
        </w:rPr>
        <w:t>means the Uniting and Strengthening America by Providing Appropriate Tools Required to Intercept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Obstruct Terrorism Act of 2001, Pub. L. 107-56, as amended and signed into law October 26, 2001.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ind w:left="660" w:right="700" w:firstLine="49"/>
        <w:spacing w:after="0" w:line="448" w:lineRule="auto"/>
        <w:rPr>
          <w:sz w:val="20"/>
          <w:szCs w:val="20"/>
          <w:color w:val="auto"/>
        </w:rPr>
      </w:pPr>
      <w:r>
        <w:rPr>
          <w:rFonts w:ascii="Times New Roman" w:cs="Times New Roman" w:eastAsia="Times New Roman" w:hAnsi="Times New Roman"/>
          <w:sz w:val="22"/>
          <w:szCs w:val="22"/>
          <w:b w:val="1"/>
          <w:bCs w:val="1"/>
          <w:color w:val="auto"/>
        </w:rPr>
        <w:t>ISSUE, DESCRIPTION, TERMS, EXECUTION, REGISTRATION AND EXCHANGE OF SECURITIES Section 2.01 Designation and Terms of Securities</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1304"/>
        <w:spacing w:after="0" w:line="253" w:lineRule="auto"/>
        <w:tabs>
          <w:tab w:leader="none" w:pos="1939"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8"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title of the Securities of the series (which shall distinguish the Securities of that series from all</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Securities);</w:t>
      </w:r>
    </w:p>
    <w:p>
      <w:pPr>
        <w:spacing w:after="0" w:line="195" w:lineRule="exact"/>
        <w:rPr>
          <w:rFonts w:ascii="Times New Roman" w:cs="Times New Roman" w:eastAsia="Times New Roman" w:hAnsi="Times New Roman"/>
          <w:sz w:val="22"/>
          <w:szCs w:val="22"/>
          <w:b w:val="1"/>
          <w:bCs w:val="1"/>
          <w:color w:val="auto"/>
        </w:rPr>
      </w:pPr>
    </w:p>
    <w:p>
      <w:pPr>
        <w:jc w:val="both"/>
        <w:ind w:firstLine="1952"/>
        <w:spacing w:after="0" w:line="263" w:lineRule="auto"/>
        <w:tabs>
          <w:tab w:leader="none" w:pos="2587"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6" w:right="339" w:bottom="1440" w:gutter="0" w:footer="0" w:header="0"/>
        </w:sectPr>
      </w:pPr>
    </w:p>
    <w:bookmarkStart w:id="127" w:name="page128"/>
    <w:bookmarkEnd w:id="127"/>
    <w:p>
      <w:pPr>
        <w:ind w:left="2600" w:hanging="648"/>
        <w:spacing w:after="0"/>
        <w:tabs>
          <w:tab w:leader="none" w:pos="260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maturity date or dates on which the principal of the Securities of the series is payable;</w:t>
      </w:r>
    </w:p>
    <w:p>
      <w:pPr>
        <w:spacing w:after="0" w:line="21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form of the Securities of the series including the form of the certificate of authentication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series;</w:t>
      </w:r>
    </w:p>
    <w:p>
      <w:pPr>
        <w:spacing w:after="0" w:line="209" w:lineRule="exact"/>
        <w:rPr>
          <w:sz w:val="20"/>
          <w:szCs w:val="20"/>
          <w:color w:val="auto"/>
        </w:rPr>
      </w:pPr>
    </w:p>
    <w:p>
      <w:pPr>
        <w:ind w:left="2600" w:hanging="648"/>
        <w:spacing w:after="0"/>
        <w:tabs>
          <w:tab w:leader="none" w:pos="26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applicability of any guarantees;</w:t>
      </w:r>
    </w:p>
    <w:p>
      <w:pPr>
        <w:spacing w:after="0" w:line="21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whether or not the Securities will be secured or unsecured, and the terms of any secured debt;</w:t>
      </w:r>
    </w:p>
    <w:p>
      <w:pPr>
        <w:spacing w:after="0" w:line="219" w:lineRule="exact"/>
        <w:rPr>
          <w:rFonts w:ascii="Times New Roman" w:cs="Times New Roman" w:eastAsia="Times New Roman" w:hAnsi="Times New Roman"/>
          <w:sz w:val="22"/>
          <w:szCs w:val="22"/>
          <w:b w:val="1"/>
          <w:bCs w:val="1"/>
          <w:color w:val="auto"/>
        </w:rPr>
      </w:pPr>
    </w:p>
    <w:p>
      <w:pPr>
        <w:ind w:right="20" w:firstLine="1952"/>
        <w:spacing w:after="0" w:line="271" w:lineRule="auto"/>
        <w:tabs>
          <w:tab w:leader="none" w:pos="2587"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whether the Securities rank as senior debt, senior subordinated debt, subordinated debt or any combination thereof, and the terms of any subordination;</w:t>
      </w:r>
    </w:p>
    <w:p>
      <w:pPr>
        <w:spacing w:after="0" w:line="157" w:lineRule="exact"/>
        <w:rPr>
          <w:rFonts w:ascii="Times New Roman" w:cs="Times New Roman" w:eastAsia="Times New Roman" w:hAnsi="Times New Roman"/>
          <w:sz w:val="22"/>
          <w:szCs w:val="22"/>
          <w:b w:val="1"/>
          <w:bCs w:val="1"/>
          <w:color w:val="auto"/>
        </w:rPr>
      </w:pPr>
    </w:p>
    <w:p>
      <w:pPr>
        <w:jc w:val="both"/>
        <w:ind w:firstLine="1952"/>
        <w:spacing w:after="0" w:line="256" w:lineRule="auto"/>
        <w:tabs>
          <w:tab w:leader="none" w:pos="2587"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6"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7"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86"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Company’s right, if any, to defer the payment of interest and the maximum length of any such</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deferral period;</w:t>
      </w:r>
    </w:p>
    <w:p>
      <w:pPr>
        <w:spacing w:after="0" w:line="195"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75"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86"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7"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72"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7"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denominations in which the Securities of the series shall be issuable, if other than denominations of one thousand U.S. dollars ($1,000) or any integral multiple thereof;</w:t>
      </w:r>
    </w:p>
    <w:p>
      <w:pPr>
        <w:spacing w:after="0" w:line="171"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7"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8" w:name="page129"/>
    <w:bookmarkEnd w:id="128"/>
    <w:p>
      <w:pPr>
        <w:jc w:val="both"/>
        <w:ind w:firstLine="1952"/>
        <w:spacing w:after="0" w:line="257"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6" w:lineRule="exact"/>
        <w:rPr>
          <w:rFonts w:ascii="Times New Roman" w:cs="Times New Roman" w:eastAsia="Times New Roman" w:hAnsi="Times New Roman"/>
          <w:sz w:val="22"/>
          <w:szCs w:val="22"/>
          <w:b w:val="1"/>
          <w:bCs w:val="1"/>
          <w:color w:val="auto"/>
        </w:rPr>
      </w:pPr>
    </w:p>
    <w:p>
      <w:pPr>
        <w:jc w:val="both"/>
        <w:ind w:firstLine="1952"/>
        <w:spacing w:after="0" w:line="251"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1" w:lineRule="exact"/>
        <w:rPr>
          <w:rFonts w:ascii="Times New Roman" w:cs="Times New Roman" w:eastAsia="Times New Roman" w:hAnsi="Times New Roman"/>
          <w:sz w:val="22"/>
          <w:szCs w:val="22"/>
          <w:b w:val="1"/>
          <w:bCs w:val="1"/>
          <w:color w:val="auto"/>
        </w:rPr>
      </w:pPr>
    </w:p>
    <w:p>
      <w:pPr>
        <w:ind w:right="20" w:firstLine="1952"/>
        <w:spacing w:after="0" w:line="271"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other than the full principal amount thereof, the portion of the principal amount of Securities of the series which shall be payable upon declaration of acceleration of the maturity thereof pursuant to Section 6.01;</w:t>
      </w:r>
    </w:p>
    <w:p>
      <w:pPr>
        <w:spacing w:after="0" w:line="157"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additions to or changes in the covenants applicable to the series of Securities being issued, including, among others, the consolidation, merger or sale covenant;</w:t>
      </w:r>
    </w:p>
    <w:p>
      <w:pPr>
        <w:spacing w:after="0" w:line="157" w:lineRule="exact"/>
        <w:rPr>
          <w:rFonts w:ascii="Times New Roman" w:cs="Times New Roman" w:eastAsia="Times New Roman" w:hAnsi="Times New Roman"/>
          <w:sz w:val="22"/>
          <w:szCs w:val="22"/>
          <w:b w:val="1"/>
          <w:bCs w:val="1"/>
          <w:color w:val="auto"/>
        </w:rPr>
      </w:pPr>
    </w:p>
    <w:p>
      <w:pPr>
        <w:jc w:val="both"/>
        <w:ind w:firstLine="1952"/>
        <w:spacing w:after="0" w:line="263"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67"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additions to or changes in or deletions of the provisions relating to covenant defeasance and legal</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defeasance;</w:t>
      </w:r>
    </w:p>
    <w:p>
      <w:pPr>
        <w:spacing w:after="0" w:line="195"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additions to or changes in the provisions relating to satisfaction and discharge of this Indenture;</w:t>
      </w:r>
    </w:p>
    <w:p>
      <w:pPr>
        <w:spacing w:after="0" w:line="233"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additions to or changes in the provisions relating to the modification of this Indenture both with and without the consent of Securityholders of Securities issued under this Indenture;</w:t>
      </w:r>
    </w:p>
    <w:p>
      <w:pPr>
        <w:spacing w:after="0" w:line="157" w:lineRule="exact"/>
        <w:rPr>
          <w:rFonts w:ascii="Times New Roman" w:cs="Times New Roman" w:eastAsia="Times New Roman" w:hAnsi="Times New Roman"/>
          <w:sz w:val="22"/>
          <w:szCs w:val="22"/>
          <w:b w:val="1"/>
          <w:bCs w:val="1"/>
          <w:color w:val="auto"/>
        </w:rPr>
      </w:pPr>
    </w:p>
    <w:p>
      <w:pPr>
        <w:ind w:right="20" w:firstLine="1952"/>
        <w:spacing w:after="0" w:line="271"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currency of payment of Securities if other than U.S. dollars and the manner of determining the equivalent amount in U.S. dollars;</w:t>
      </w:r>
    </w:p>
    <w:p>
      <w:pPr>
        <w:spacing w:after="0" w:line="157" w:lineRule="exact"/>
        <w:rPr>
          <w:rFonts w:ascii="Times New Roman" w:cs="Times New Roman" w:eastAsia="Times New Roman" w:hAnsi="Times New Roman"/>
          <w:sz w:val="22"/>
          <w:szCs w:val="22"/>
          <w:b w:val="1"/>
          <w:bCs w:val="1"/>
          <w:color w:val="auto"/>
        </w:rPr>
      </w:pPr>
    </w:p>
    <w:p>
      <w:pPr>
        <w:ind w:right="20" w:firstLine="1952"/>
        <w:spacing w:after="0" w:line="284"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whether interest will be payable in cash or additional Securities at the Company’s or the Securityholders’ option and the terms and conditions upon which the election may be made;</w:t>
      </w:r>
    </w:p>
    <w:p>
      <w:pPr>
        <w:spacing w:after="0" w:line="143"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7"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29" w:name="page130"/>
    <w:bookmarkEnd w:id="129"/>
    <w:p>
      <w:pPr>
        <w:ind w:left="2600" w:hanging="648"/>
        <w:spacing w:after="0"/>
        <w:tabs>
          <w:tab w:leader="none" w:pos="260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restrictions on transfer, sale or assignment of the Securities of the series; and</w:t>
      </w:r>
    </w:p>
    <w:p>
      <w:pPr>
        <w:spacing w:after="0" w:line="219" w:lineRule="exact"/>
        <w:rPr>
          <w:rFonts w:ascii="Times New Roman" w:cs="Times New Roman" w:eastAsia="Times New Roman" w:hAnsi="Times New Roman"/>
          <w:sz w:val="22"/>
          <w:szCs w:val="22"/>
          <w:b w:val="1"/>
          <w:bCs w:val="1"/>
          <w:color w:val="auto"/>
        </w:rPr>
      </w:pPr>
    </w:p>
    <w:p>
      <w:pPr>
        <w:jc w:val="both"/>
        <w:ind w:firstLine="1952"/>
        <w:spacing w:after="0" w:line="263" w:lineRule="auto"/>
        <w:tabs>
          <w:tab w:leader="none" w:pos="2587"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All Securities of any one series shall be substantially identical except as may otherwise be provided in or pursuant to any such Board Resolution or in any indentures supplemental hereto.</w:t>
      </w:r>
    </w:p>
    <w:p>
      <w:pPr>
        <w:spacing w:after="0" w:line="15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6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2.02</w:t>
      </w:r>
      <w:r>
        <w:rPr>
          <w:sz w:val="20"/>
          <w:szCs w:val="20"/>
          <w:color w:val="auto"/>
        </w:rPr>
        <w:tab/>
      </w:r>
      <w:r>
        <w:rPr>
          <w:rFonts w:ascii="Times New Roman" w:cs="Times New Roman" w:eastAsia="Times New Roman" w:hAnsi="Times New Roman"/>
          <w:sz w:val="21"/>
          <w:szCs w:val="21"/>
          <w:b w:val="1"/>
          <w:bCs w:val="1"/>
          <w:color w:val="auto"/>
        </w:rPr>
        <w:t>Form of Securities and Trustee’s Certificate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2.03</w:t>
      </w:r>
      <w:r>
        <w:rPr>
          <w:sz w:val="20"/>
          <w:szCs w:val="20"/>
          <w:color w:val="auto"/>
        </w:rPr>
        <w:tab/>
      </w:r>
      <w:r>
        <w:rPr>
          <w:rFonts w:ascii="Times New Roman" w:cs="Times New Roman" w:eastAsia="Times New Roman" w:hAnsi="Times New Roman"/>
          <w:sz w:val="21"/>
          <w:szCs w:val="21"/>
          <w:b w:val="1"/>
          <w:bCs w:val="1"/>
          <w:color w:val="auto"/>
        </w:rPr>
        <w:t>Denominations: Provisions for Payment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30" w:name="page131"/>
    <w:bookmarkEnd w:id="130"/>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1952"/>
        <w:spacing w:after="0" w:line="260" w:lineRule="auto"/>
        <w:tabs>
          <w:tab w:leader="none" w:pos="2587"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79" w:lineRule="exact"/>
        <w:rPr>
          <w:rFonts w:ascii="Times New Roman" w:cs="Times New Roman" w:eastAsia="Times New Roman" w:hAnsi="Times New Roman"/>
          <w:sz w:val="21"/>
          <w:szCs w:val="21"/>
          <w:b w:val="1"/>
          <w:bCs w:val="1"/>
          <w:color w:val="auto"/>
        </w:rPr>
      </w:pPr>
    </w:p>
    <w:p>
      <w:pPr>
        <w:jc w:val="both"/>
        <w:ind w:firstLine="1952"/>
        <w:spacing w:after="0" w:line="252" w:lineRule="auto"/>
        <w:tabs>
          <w:tab w:leader="none" w:pos="2587"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Unless otherwise set forth in a Board Resolution or one or more indentures supplemental hereto establishing the terms of any series of Securities pursuant to Section 2.01 hereof,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22"/>
          <w:szCs w:val="22"/>
          <w:color w:val="auto"/>
        </w:rPr>
        <w:t>“regular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8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2.04</w:t>
      </w:r>
      <w:r>
        <w:rPr>
          <w:sz w:val="20"/>
          <w:szCs w:val="20"/>
          <w:color w:val="auto"/>
        </w:rPr>
        <w:tab/>
      </w:r>
      <w:r>
        <w:rPr>
          <w:rFonts w:ascii="Times New Roman" w:cs="Times New Roman" w:eastAsia="Times New Roman" w:hAnsi="Times New Roman"/>
          <w:sz w:val="21"/>
          <w:szCs w:val="21"/>
          <w:b w:val="1"/>
          <w:bCs w:val="1"/>
          <w:color w:val="auto"/>
        </w:rPr>
        <w:t>Execution and Authentications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Securities shall be signed on behalf of the Company by one of its Officers. Signatures may be in the form of a manual or facsimile signature.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32" w:name="page133"/>
    <w:bookmarkEnd w:id="132"/>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2.05</w:t>
      </w:r>
      <w:r>
        <w:rPr>
          <w:sz w:val="20"/>
          <w:szCs w:val="20"/>
          <w:color w:val="auto"/>
        </w:rPr>
        <w:tab/>
      </w:r>
      <w:r>
        <w:rPr>
          <w:rFonts w:ascii="Times New Roman" w:cs="Times New Roman" w:eastAsia="Times New Roman" w:hAnsi="Times New Roman"/>
          <w:sz w:val="21"/>
          <w:szCs w:val="21"/>
          <w:b w:val="1"/>
          <w:bCs w:val="1"/>
          <w:color w:val="auto"/>
        </w:rPr>
        <w:t>Registration of Transfer and Exchange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1" w:lineRule="auto"/>
        <w:tabs>
          <w:tab w:leader="none" w:pos="1939"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68" w:lineRule="auto"/>
        <w:tabs>
          <w:tab w:leader="none" w:pos="1938"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initially appoints the Trustee as Security Registrar for each series of Securities.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1304"/>
        <w:spacing w:after="0" w:line="251" w:lineRule="auto"/>
        <w:tabs>
          <w:tab w:leader="none" w:pos="1941"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75" w:lineRule="auto"/>
        <w:tabs>
          <w:tab w:leader="none" w:pos="1938"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7"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22"/>
          <w:szCs w:val="22"/>
          <w:color w:val="auto"/>
        </w:rPr>
        <w:t>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2.06</w:t>
      </w:r>
      <w:r>
        <w:rPr>
          <w:sz w:val="20"/>
          <w:szCs w:val="20"/>
          <w:color w:val="auto"/>
        </w:rPr>
        <w:tab/>
      </w:r>
      <w:r>
        <w:rPr>
          <w:rFonts w:ascii="Times New Roman" w:cs="Times New Roman" w:eastAsia="Times New Roman" w:hAnsi="Times New Roman"/>
          <w:sz w:val="21"/>
          <w:szCs w:val="21"/>
          <w:b w:val="1"/>
          <w:bCs w:val="1"/>
          <w:color w:val="auto"/>
        </w:rPr>
        <w:t>Temporary Securities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0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2.07</w:t>
      </w:r>
      <w:r>
        <w:rPr>
          <w:sz w:val="20"/>
          <w:szCs w:val="20"/>
          <w:color w:val="auto"/>
        </w:rPr>
        <w:tab/>
      </w:r>
      <w:r>
        <w:rPr>
          <w:rFonts w:ascii="Times New Roman" w:cs="Times New Roman" w:eastAsia="Times New Roman" w:hAnsi="Times New Roman"/>
          <w:sz w:val="21"/>
          <w:szCs w:val="21"/>
          <w:b w:val="1"/>
          <w:bCs w:val="1"/>
          <w:color w:val="auto"/>
        </w:rPr>
        <w:t>Mutilated, Destroyed, Lost or Stolen Securities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6" w:lineRule="auto"/>
        <w:rPr>
          <w:sz w:val="20"/>
          <w:szCs w:val="20"/>
          <w:color w:val="auto"/>
        </w:rPr>
      </w:pPr>
      <w:r>
        <w:rPr>
          <w:rFonts w:ascii="Times New Roman" w:cs="Times New Roman" w:eastAsia="Times New Roman" w:hAnsi="Times New Roman"/>
          <w:sz w:val="22"/>
          <w:szCs w:val="22"/>
          <w:color w:val="auto"/>
        </w:rPr>
        <w:t>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7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2.08</w:t>
      </w:r>
      <w:r>
        <w:rPr>
          <w:sz w:val="20"/>
          <w:szCs w:val="20"/>
          <w:color w:val="auto"/>
        </w:rPr>
        <w:tab/>
      </w:r>
      <w:r>
        <w:rPr>
          <w:rFonts w:ascii="Times New Roman" w:cs="Times New Roman" w:eastAsia="Times New Roman" w:hAnsi="Times New Roman"/>
          <w:sz w:val="21"/>
          <w:szCs w:val="21"/>
          <w:b w:val="1"/>
          <w:bCs w:val="1"/>
          <w:color w:val="auto"/>
        </w:rPr>
        <w:t>Cancellation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2.09</w:t>
      </w:r>
      <w:r>
        <w:rPr>
          <w:sz w:val="20"/>
          <w:szCs w:val="20"/>
          <w:color w:val="auto"/>
        </w:rPr>
        <w:tab/>
      </w:r>
      <w:r>
        <w:rPr>
          <w:rFonts w:ascii="Times New Roman" w:cs="Times New Roman" w:eastAsia="Times New Roman" w:hAnsi="Times New Roman"/>
          <w:sz w:val="21"/>
          <w:szCs w:val="21"/>
          <w:b w:val="1"/>
          <w:bCs w:val="1"/>
          <w:color w:val="auto"/>
        </w:rPr>
        <w:t>Benefits of Indenture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135" w:name="page136"/>
    <w:bookmarkEnd w:id="13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covenant, condition or provision herein contained; all such covenants, conditions and provisions being for the sole benefit of the parties hereto and of the holders of the Securities.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2.10</w:t>
      </w:r>
      <w:r>
        <w:rPr>
          <w:sz w:val="20"/>
          <w:szCs w:val="20"/>
          <w:color w:val="auto"/>
        </w:rPr>
        <w:tab/>
      </w:r>
      <w:r>
        <w:rPr>
          <w:rFonts w:ascii="Times New Roman" w:cs="Times New Roman" w:eastAsia="Times New Roman" w:hAnsi="Times New Roman"/>
          <w:sz w:val="21"/>
          <w:szCs w:val="21"/>
          <w:b w:val="1"/>
          <w:bCs w:val="1"/>
          <w:color w:val="auto"/>
        </w:rPr>
        <w:t>Authenticating Agent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2.11</w:t>
      </w:r>
      <w:r>
        <w:rPr>
          <w:sz w:val="20"/>
          <w:szCs w:val="20"/>
          <w:color w:val="auto"/>
        </w:rPr>
        <w:tab/>
      </w:r>
      <w:r>
        <w:rPr>
          <w:rFonts w:ascii="Times New Roman" w:cs="Times New Roman" w:eastAsia="Times New Roman" w:hAnsi="Times New Roman"/>
          <w:sz w:val="21"/>
          <w:szCs w:val="21"/>
          <w:b w:val="1"/>
          <w:bCs w:val="1"/>
          <w:color w:val="auto"/>
        </w:rPr>
        <w:t>Global Securities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64" w:lineRule="auto"/>
        <w:tabs>
          <w:tab w:leader="none" w:pos="1939" w:val="left"/>
        </w:tabs>
        <w:numPr>
          <w:ilvl w:val="1"/>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w:t>
      </w:r>
    </w:p>
    <w:p>
      <w:pPr>
        <w:jc w:val="both"/>
        <w:ind w:firstLine="8"/>
        <w:spacing w:after="0" w:line="245" w:lineRule="auto"/>
        <w:tabs>
          <w:tab w:leader="none" w:pos="3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136" w:name="page137"/>
    <w:bookmarkEnd w:id="136"/>
    <w:p>
      <w:pPr>
        <w:jc w:val="both"/>
        <w:ind w:firstLine="1304"/>
        <w:spacing w:after="0" w:line="257" w:lineRule="auto"/>
        <w:tabs>
          <w:tab w:leader="none" w:pos="1938"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6" w:lineRule="exact"/>
        <w:rPr>
          <w:rFonts w:ascii="Times New Roman" w:cs="Times New Roman" w:eastAsia="Times New Roman" w:hAnsi="Times New Roman"/>
          <w:sz w:val="22"/>
          <w:szCs w:val="22"/>
          <w:b w:val="1"/>
          <w:bCs w:val="1"/>
          <w:color w:val="auto"/>
        </w:rPr>
      </w:pPr>
    </w:p>
    <w:p>
      <w:pPr>
        <w:jc w:val="both"/>
        <w:ind w:firstLine="1304"/>
        <w:spacing w:after="0" w:line="246" w:lineRule="auto"/>
        <w:tabs>
          <w:tab w:leader="none" w:pos="1941"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2.12</w:t>
      </w:r>
      <w:r>
        <w:rPr>
          <w:sz w:val="20"/>
          <w:szCs w:val="20"/>
          <w:color w:val="auto"/>
        </w:rPr>
        <w:tab/>
      </w:r>
      <w:r>
        <w:rPr>
          <w:rFonts w:ascii="Times New Roman" w:cs="Times New Roman" w:eastAsia="Times New Roman" w:hAnsi="Times New Roman"/>
          <w:sz w:val="21"/>
          <w:szCs w:val="21"/>
          <w:b w:val="1"/>
          <w:bCs w:val="1"/>
          <w:color w:val="auto"/>
        </w:rPr>
        <w:t>CUSIP Numbers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1" w:right="339" w:bottom="1440" w:gutter="0" w:footer="0" w:header="0"/>
        </w:sectPr>
      </w:pPr>
    </w:p>
    <w:bookmarkStart w:id="137" w:name="page138"/>
    <w:bookmarkEnd w:id="137"/>
    <w:p>
      <w:pPr>
        <w:ind w:left="506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2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REDEMPTION OF SECURITIES AND SINKING FUND PROVISIONS</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3.01</w:t>
      </w:r>
      <w:r>
        <w:rPr>
          <w:sz w:val="20"/>
          <w:szCs w:val="20"/>
          <w:color w:val="auto"/>
        </w:rPr>
        <w:tab/>
      </w:r>
      <w:r>
        <w:rPr>
          <w:rFonts w:ascii="Times New Roman" w:cs="Times New Roman" w:eastAsia="Times New Roman" w:hAnsi="Times New Roman"/>
          <w:sz w:val="21"/>
          <w:szCs w:val="21"/>
          <w:b w:val="1"/>
          <w:bCs w:val="1"/>
          <w:color w:val="auto"/>
        </w:rPr>
        <w:t>Redemption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may redeem the Securities of any series issued hereunder on and after the dates and in accordance with the terms established for such series pursuant to Section 2.01 hereof.</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3.02</w:t>
      </w:r>
      <w:r>
        <w:rPr>
          <w:sz w:val="20"/>
          <w:szCs w:val="20"/>
          <w:color w:val="auto"/>
        </w:rPr>
        <w:tab/>
      </w:r>
      <w:r>
        <w:rPr>
          <w:rFonts w:ascii="Times New Roman" w:cs="Times New Roman" w:eastAsia="Times New Roman" w:hAnsi="Times New Roman"/>
          <w:sz w:val="21"/>
          <w:szCs w:val="21"/>
          <w:b w:val="1"/>
          <w:bCs w:val="1"/>
          <w:color w:val="auto"/>
        </w:rPr>
        <w:t>Notice of Redemption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47" w:lineRule="auto"/>
        <w:tabs>
          <w:tab w:leader="none" w:pos="1939"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3" w:lineRule="exact"/>
        <w:rPr>
          <w:sz w:val="20"/>
          <w:szCs w:val="20"/>
          <w:color w:val="auto"/>
        </w:rPr>
      </w:pPr>
    </w:p>
    <w:p>
      <w:pPr>
        <w:ind w:firstLine="1304"/>
        <w:spacing w:after="0" w:line="284" w:lineRule="auto"/>
        <w:tabs>
          <w:tab w:leader="none" w:pos="193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less than all the Securities of a series are to be redeemed, the Company shall give the Trustee at least 45 days’ notice (unless a shorter notice shall be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47" w:lineRule="auto"/>
        <w:rPr>
          <w:sz w:val="20"/>
          <w:szCs w:val="20"/>
          <w:color w:val="auto"/>
        </w:rPr>
      </w:pPr>
      <w:r>
        <w:rPr>
          <w:rFonts w:ascii="Times New Roman" w:cs="Times New Roman" w:eastAsia="Times New Roman" w:hAnsi="Times New Roman"/>
          <w:sz w:val="22"/>
          <w:szCs w:val="22"/>
          <w:color w:val="auto"/>
        </w:rPr>
        <w:t>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3.03</w:t>
      </w:r>
      <w:r>
        <w:rPr>
          <w:sz w:val="20"/>
          <w:szCs w:val="20"/>
          <w:color w:val="auto"/>
        </w:rPr>
        <w:tab/>
      </w:r>
      <w:r>
        <w:rPr>
          <w:rFonts w:ascii="Times New Roman" w:cs="Times New Roman" w:eastAsia="Times New Roman" w:hAnsi="Times New Roman"/>
          <w:sz w:val="21"/>
          <w:szCs w:val="21"/>
          <w:b w:val="1"/>
          <w:bCs w:val="1"/>
          <w:color w:val="auto"/>
        </w:rPr>
        <w:t>Payment Upon Redemption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4"/>
        <w:spacing w:after="0" w:line="247" w:lineRule="auto"/>
        <w:tabs>
          <w:tab w:leader="none" w:pos="1939"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204"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38"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7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3.04</w:t>
      </w:r>
      <w:r>
        <w:rPr>
          <w:sz w:val="20"/>
          <w:szCs w:val="20"/>
          <w:color w:val="auto"/>
        </w:rPr>
        <w:tab/>
      </w:r>
      <w:r>
        <w:rPr>
          <w:rFonts w:ascii="Times New Roman" w:cs="Times New Roman" w:eastAsia="Times New Roman" w:hAnsi="Times New Roman"/>
          <w:sz w:val="21"/>
          <w:szCs w:val="21"/>
          <w:b w:val="1"/>
          <w:bCs w:val="1"/>
          <w:color w:val="auto"/>
        </w:rPr>
        <w:t>Sinking Fund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139" w:name="page140"/>
    <w:bookmarkEnd w:id="139"/>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3.05</w:t>
      </w:r>
      <w:r>
        <w:rPr>
          <w:sz w:val="20"/>
          <w:szCs w:val="20"/>
          <w:color w:val="auto"/>
        </w:rPr>
        <w:tab/>
      </w:r>
      <w:r>
        <w:rPr>
          <w:rFonts w:ascii="Times New Roman" w:cs="Times New Roman" w:eastAsia="Times New Roman" w:hAnsi="Times New Roman"/>
          <w:sz w:val="21"/>
          <w:szCs w:val="21"/>
          <w:b w:val="1"/>
          <w:bCs w:val="1"/>
          <w:color w:val="auto"/>
        </w:rPr>
        <w:t>Satisfaction of Sinking Fund Payments with Securities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9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3.06</w:t>
      </w:r>
      <w:r>
        <w:rPr>
          <w:sz w:val="20"/>
          <w:szCs w:val="20"/>
          <w:color w:val="auto"/>
        </w:rPr>
        <w:tab/>
      </w:r>
      <w:r>
        <w:rPr>
          <w:rFonts w:ascii="Times New Roman" w:cs="Times New Roman" w:eastAsia="Times New Roman" w:hAnsi="Times New Roman"/>
          <w:sz w:val="21"/>
          <w:szCs w:val="21"/>
          <w:b w:val="1"/>
          <w:bCs w:val="1"/>
          <w:color w:val="auto"/>
        </w:rPr>
        <w:t>Redemption of Securities for Sinking Fund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4.01</w:t>
      </w:r>
      <w:r>
        <w:rPr>
          <w:sz w:val="20"/>
          <w:szCs w:val="20"/>
          <w:color w:val="auto"/>
        </w:rPr>
        <w:tab/>
      </w:r>
      <w:r>
        <w:rPr>
          <w:rFonts w:ascii="Times New Roman" w:cs="Times New Roman" w:eastAsia="Times New Roman" w:hAnsi="Times New Roman"/>
          <w:sz w:val="21"/>
          <w:szCs w:val="21"/>
          <w:b w:val="1"/>
          <w:bCs w:val="1"/>
          <w:color w:val="auto"/>
        </w:rPr>
        <w:t>Payment of Principal, Premium and Interest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50" w:lineRule="auto"/>
        <w:rPr>
          <w:sz w:val="20"/>
          <w:szCs w:val="20"/>
          <w:color w:val="auto"/>
        </w:rPr>
      </w:pPr>
      <w:r>
        <w:rPr>
          <w:rFonts w:ascii="Times New Roman" w:cs="Times New Roman" w:eastAsia="Times New Roman" w:hAnsi="Times New Roman"/>
          <w:sz w:val="22"/>
          <w:szCs w:val="22"/>
          <w:color w:val="auto"/>
        </w:rPr>
        <w:t>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7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4.02</w:t>
      </w:r>
      <w:r>
        <w:rPr>
          <w:sz w:val="20"/>
          <w:szCs w:val="20"/>
          <w:color w:val="auto"/>
        </w:rPr>
        <w:tab/>
      </w:r>
      <w:r>
        <w:rPr>
          <w:rFonts w:ascii="Times New Roman" w:cs="Times New Roman" w:eastAsia="Times New Roman" w:hAnsi="Times New Roman"/>
          <w:sz w:val="21"/>
          <w:szCs w:val="21"/>
          <w:b w:val="1"/>
          <w:bCs w:val="1"/>
          <w:color w:val="auto"/>
        </w:rPr>
        <w:t>Maintenance of Office or Agency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9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4.03</w:t>
      </w:r>
      <w:r>
        <w:rPr>
          <w:sz w:val="20"/>
          <w:szCs w:val="20"/>
          <w:color w:val="auto"/>
        </w:rPr>
        <w:tab/>
      </w:r>
      <w:r>
        <w:rPr>
          <w:rFonts w:ascii="Times New Roman" w:cs="Times New Roman" w:eastAsia="Times New Roman" w:hAnsi="Times New Roman"/>
          <w:sz w:val="21"/>
          <w:szCs w:val="21"/>
          <w:b w:val="1"/>
          <w:bCs w:val="1"/>
          <w:color w:val="auto"/>
        </w:rPr>
        <w:t>Paying Agents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7" w:lineRule="auto"/>
        <w:tabs>
          <w:tab w:leader="none" w:pos="178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2" w:lineRule="exact"/>
        <w:rPr>
          <w:rFonts w:ascii="Times New Roman" w:cs="Times New Roman" w:eastAsia="Times New Roman" w:hAnsi="Times New Roman"/>
          <w:sz w:val="22"/>
          <w:szCs w:val="22"/>
          <w:b w:val="1"/>
          <w:bCs w:val="1"/>
          <w:color w:val="auto"/>
        </w:rPr>
      </w:pPr>
    </w:p>
    <w:p>
      <w:pPr>
        <w:jc w:val="both"/>
        <w:ind w:firstLine="1952"/>
        <w:spacing w:after="0" w:line="263" w:lineRule="auto"/>
        <w:tabs>
          <w:tab w:leader="none" w:pos="2587"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7"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7"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141" w:name="page142"/>
    <w:bookmarkEnd w:id="141"/>
    <w:p>
      <w:pPr>
        <w:jc w:val="both"/>
        <w:ind w:firstLine="1952"/>
        <w:spacing w:after="0" w:line="257" w:lineRule="auto"/>
        <w:tabs>
          <w:tab w:leader="none" w:pos="2587"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86"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it will perform all other duties of paying agent as set forth in this Indenture.</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38"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04"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4.04</w:t>
      </w:r>
      <w:r>
        <w:rPr>
          <w:sz w:val="20"/>
          <w:szCs w:val="20"/>
          <w:color w:val="auto"/>
        </w:rPr>
        <w:tab/>
      </w:r>
      <w:r>
        <w:rPr>
          <w:rFonts w:ascii="Times New Roman" w:cs="Times New Roman" w:eastAsia="Times New Roman" w:hAnsi="Times New Roman"/>
          <w:sz w:val="21"/>
          <w:szCs w:val="21"/>
          <w:b w:val="1"/>
          <w:bCs w:val="1"/>
          <w:color w:val="auto"/>
        </w:rPr>
        <w:t>Appointment to Fill Vacancy in Office of Trustee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whenever necessary to avoid or fill a vacancy in the office of Trustee, will appoint, in the manner provided in Section 7.10, a Trustee, so that there shall at all times be a Trustee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1" w:right="339" w:bottom="1440" w:gutter="0" w:footer="0" w:header="0"/>
        </w:sectPr>
      </w:pPr>
    </w:p>
    <w:bookmarkStart w:id="142" w:name="page143"/>
    <w:bookmarkEnd w:id="142"/>
    <w:p>
      <w:pPr>
        <w:ind w:left="506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SECURITYHOLDERS’ LISTS AND REPORTS BY THE COMPANY AND THE TRUSTEE</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5.01</w:t>
      </w:r>
      <w:r>
        <w:rPr>
          <w:sz w:val="20"/>
          <w:szCs w:val="20"/>
          <w:color w:val="auto"/>
        </w:rPr>
        <w:tab/>
      </w:r>
      <w:r>
        <w:rPr>
          <w:rFonts w:ascii="Times New Roman" w:cs="Times New Roman" w:eastAsia="Times New Roman" w:hAnsi="Times New Roman"/>
          <w:sz w:val="21"/>
          <w:szCs w:val="21"/>
          <w:b w:val="1"/>
          <w:bCs w:val="1"/>
          <w:color w:val="auto"/>
        </w:rPr>
        <w:t>Company to Furnish Trustee Names and Addresses of Securityholders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7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5.02</w:t>
      </w:r>
      <w:r>
        <w:rPr>
          <w:sz w:val="20"/>
          <w:szCs w:val="20"/>
          <w:color w:val="auto"/>
        </w:rPr>
        <w:tab/>
      </w:r>
      <w:r>
        <w:rPr>
          <w:rFonts w:ascii="Times New Roman" w:cs="Times New Roman" w:eastAsia="Times New Roman" w:hAnsi="Times New Roman"/>
          <w:sz w:val="21"/>
          <w:szCs w:val="21"/>
          <w:b w:val="1"/>
          <w:bCs w:val="1"/>
          <w:color w:val="auto"/>
        </w:rPr>
        <w:t>Preservation Of Information; Communications With Securityholders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6" w:lineRule="auto"/>
        <w:tabs>
          <w:tab w:leader="none" w:pos="1939"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6"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may destroy any list furnished to it as provided in Section 5.01 upon receipt of a new list so</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furnished.</w:t>
      </w:r>
    </w:p>
    <w:p>
      <w:pPr>
        <w:spacing w:after="0" w:line="195"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941"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5.03</w:t>
      </w:r>
      <w:r>
        <w:rPr>
          <w:sz w:val="20"/>
          <w:szCs w:val="20"/>
          <w:color w:val="auto"/>
        </w:rPr>
        <w:tab/>
      </w:r>
      <w:r>
        <w:rPr>
          <w:rFonts w:ascii="Times New Roman" w:cs="Times New Roman" w:eastAsia="Times New Roman" w:hAnsi="Times New Roman"/>
          <w:sz w:val="21"/>
          <w:szCs w:val="21"/>
          <w:b w:val="1"/>
          <w:bCs w:val="1"/>
          <w:color w:val="auto"/>
        </w:rPr>
        <w:t>Reports by the Company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65" w:lineRule="auto"/>
        <w:tabs>
          <w:tab w:leader="none" w:pos="1939"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17" w:right="339" w:bottom="1440" w:gutter="0" w:footer="0" w:header="0"/>
        </w:sectPr>
      </w:pPr>
    </w:p>
    <w:bookmarkStart w:id="143" w:name="page144"/>
    <w:bookmarkEnd w:id="143"/>
    <w:p>
      <w:pPr>
        <w:jc w:val="both"/>
        <w:spacing w:after="0" w:line="251" w:lineRule="auto"/>
        <w:rPr>
          <w:sz w:val="20"/>
          <w:szCs w:val="20"/>
          <w:color w:val="auto"/>
        </w:rPr>
      </w:pPr>
      <w:r>
        <w:rPr>
          <w:rFonts w:ascii="Times New Roman" w:cs="Times New Roman" w:eastAsia="Times New Roman" w:hAnsi="Times New Roman"/>
          <w:sz w:val="22"/>
          <w:szCs w:val="22"/>
          <w:color w:val="auto"/>
        </w:rPr>
        <w:t>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81" w:lineRule="exact"/>
        <w:rPr>
          <w:sz w:val="20"/>
          <w:szCs w:val="20"/>
          <w:color w:val="auto"/>
        </w:rPr>
      </w:pPr>
    </w:p>
    <w:p>
      <w:pPr>
        <w:jc w:val="both"/>
        <w:ind w:firstLine="1304"/>
        <w:spacing w:after="0" w:line="249" w:lineRule="auto"/>
        <w:tabs>
          <w:tab w:leader="none" w:pos="1938"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9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5.04</w:t>
      </w:r>
      <w:r>
        <w:rPr>
          <w:sz w:val="20"/>
          <w:szCs w:val="20"/>
          <w:color w:val="auto"/>
        </w:rPr>
        <w:tab/>
      </w:r>
      <w:r>
        <w:rPr>
          <w:rFonts w:ascii="Times New Roman" w:cs="Times New Roman" w:eastAsia="Times New Roman" w:hAnsi="Times New Roman"/>
          <w:sz w:val="21"/>
          <w:szCs w:val="21"/>
          <w:b w:val="1"/>
          <w:bCs w:val="1"/>
          <w:color w:val="auto"/>
        </w:rPr>
        <w:t>Reports by the Trustee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7" w:lineRule="auto"/>
        <w:tabs>
          <w:tab w:leader="none" w:pos="1939"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72"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comply with Section 313(b) and 313(c) of the Trust Indenture Act.</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144" w:name="page145"/>
    <w:bookmarkEnd w:id="144"/>
    <w:p>
      <w:pPr>
        <w:ind w:left="506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b w:val="1"/>
          <w:bCs w:val="1"/>
          <w:color w:val="auto"/>
        </w:rPr>
        <w:t>REMEDIES OF THE TRUSTEE AND SECURITYHOLDERS ON EVENT OF DEFAULT</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6.01</w:t>
      </w:r>
      <w:r>
        <w:rPr>
          <w:sz w:val="20"/>
          <w:szCs w:val="20"/>
          <w:color w:val="auto"/>
        </w:rPr>
        <w:tab/>
      </w:r>
      <w:r>
        <w:rPr>
          <w:rFonts w:ascii="Times New Roman" w:cs="Times New Roman" w:eastAsia="Times New Roman" w:hAnsi="Times New Roman"/>
          <w:sz w:val="21"/>
          <w:szCs w:val="21"/>
          <w:b w:val="1"/>
          <w:bCs w:val="1"/>
          <w:color w:val="auto"/>
        </w:rPr>
        <w:t>Events of Default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1304"/>
        <w:spacing w:after="0" w:line="271" w:lineRule="auto"/>
        <w:tabs>
          <w:tab w:leader="none" w:pos="1939" w:val="left"/>
        </w:tabs>
        <w:numPr>
          <w:ilvl w:val="1"/>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Whenever used herein with respect to Securities of a particular series, “Event of Default” means any one or more of the following events that has occurred and is continuing:</w:t>
      </w:r>
    </w:p>
    <w:p>
      <w:pPr>
        <w:spacing w:after="0" w:line="157" w:lineRule="exact"/>
        <w:rPr>
          <w:rFonts w:ascii="Times New Roman" w:cs="Times New Roman" w:eastAsia="Times New Roman" w:hAnsi="Times New Roman"/>
          <w:sz w:val="22"/>
          <w:szCs w:val="22"/>
          <w:b w:val="1"/>
          <w:bCs w:val="1"/>
          <w:color w:val="auto"/>
        </w:rPr>
      </w:pPr>
    </w:p>
    <w:p>
      <w:pPr>
        <w:jc w:val="both"/>
        <w:ind w:firstLine="1952"/>
        <w:spacing w:after="0" w:line="256" w:lineRule="auto"/>
        <w:tabs>
          <w:tab w:leader="none" w:pos="2587" w:val="left"/>
        </w:tabs>
        <w:numPr>
          <w:ilvl w:val="2"/>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6" w:lineRule="exact"/>
        <w:rPr>
          <w:rFonts w:ascii="Times New Roman" w:cs="Times New Roman" w:eastAsia="Times New Roman" w:hAnsi="Times New Roman"/>
          <w:sz w:val="22"/>
          <w:szCs w:val="22"/>
          <w:b w:val="1"/>
          <w:bCs w:val="1"/>
          <w:color w:val="auto"/>
        </w:rPr>
      </w:pPr>
    </w:p>
    <w:p>
      <w:pPr>
        <w:jc w:val="both"/>
        <w:ind w:firstLine="1952"/>
        <w:spacing w:after="0" w:line="250" w:lineRule="auto"/>
        <w:tabs>
          <w:tab w:leader="none" w:pos="2587" w:val="left"/>
        </w:tabs>
        <w:numPr>
          <w:ilvl w:val="2"/>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94" w:lineRule="exact"/>
        <w:rPr>
          <w:rFonts w:ascii="Times New Roman" w:cs="Times New Roman" w:eastAsia="Times New Roman" w:hAnsi="Times New Roman"/>
          <w:sz w:val="22"/>
          <w:szCs w:val="22"/>
          <w:b w:val="1"/>
          <w:bCs w:val="1"/>
          <w:color w:val="auto"/>
        </w:rPr>
      </w:pPr>
    </w:p>
    <w:p>
      <w:pPr>
        <w:jc w:val="both"/>
        <w:ind w:firstLine="1952"/>
        <w:spacing w:after="0" w:line="250" w:lineRule="auto"/>
        <w:tabs>
          <w:tab w:leader="none" w:pos="2587" w:val="left"/>
        </w:tabs>
        <w:numPr>
          <w:ilvl w:val="2"/>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0" w:lineRule="exact"/>
        <w:rPr>
          <w:rFonts w:ascii="Times New Roman" w:cs="Times New Roman" w:eastAsia="Times New Roman" w:hAnsi="Times New Roman"/>
          <w:sz w:val="22"/>
          <w:szCs w:val="22"/>
          <w:b w:val="1"/>
          <w:bCs w:val="1"/>
          <w:color w:val="auto"/>
        </w:rPr>
      </w:pPr>
    </w:p>
    <w:p>
      <w:pPr>
        <w:jc w:val="both"/>
        <w:ind w:firstLine="1952"/>
        <w:spacing w:after="0" w:line="275" w:lineRule="auto"/>
        <w:tabs>
          <w:tab w:leader="none" w:pos="2587" w:val="left"/>
        </w:tabs>
        <w:numPr>
          <w:ilvl w:val="2"/>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8" w:lineRule="exact"/>
        <w:rPr>
          <w:rFonts w:ascii="Times New Roman" w:cs="Times New Roman" w:eastAsia="Times New Roman" w:hAnsi="Times New Roman"/>
          <w:sz w:val="21"/>
          <w:szCs w:val="21"/>
          <w:b w:val="1"/>
          <w:bCs w:val="1"/>
          <w:color w:val="auto"/>
        </w:rPr>
      </w:pPr>
    </w:p>
    <w:p>
      <w:pPr>
        <w:jc w:val="both"/>
        <w:ind w:firstLine="1952"/>
        <w:spacing w:after="0" w:line="266" w:lineRule="auto"/>
        <w:tabs>
          <w:tab w:leader="none" w:pos="2587" w:val="left"/>
        </w:tabs>
        <w:numPr>
          <w:ilvl w:val="2"/>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court of competent jurisdiction enters an order under any Bankruptcy Law that (i) is for relief against the Company in an involuntary case, (ii) appoints a Custodian of the Company for all or substantially all of its property or</w:t>
      </w:r>
    </w:p>
    <w:p>
      <w:pPr>
        <w:spacing w:after="0" w:line="1" w:lineRule="exact"/>
        <w:rPr>
          <w:rFonts w:ascii="Times New Roman" w:cs="Times New Roman" w:eastAsia="Times New Roman" w:hAnsi="Times New Roman"/>
          <w:sz w:val="21"/>
          <w:szCs w:val="21"/>
          <w:b w:val="1"/>
          <w:bCs w:val="1"/>
          <w:color w:val="auto"/>
        </w:rPr>
      </w:pPr>
    </w:p>
    <w:p>
      <w:pPr>
        <w:ind w:left="380" w:hanging="372"/>
        <w:spacing w:after="0"/>
        <w:tabs>
          <w:tab w:leader="none" w:pos="3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the Company, and the order or decree remains unstayed and in effect for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7" w:right="339" w:bottom="1440" w:gutter="0" w:footer="0" w:header="0"/>
        </w:sectPr>
      </w:pPr>
    </w:p>
    <w:bookmarkStart w:id="145" w:name="page146"/>
    <w:bookmarkEnd w:id="145"/>
    <w:p>
      <w:pPr>
        <w:jc w:val="both"/>
        <w:ind w:firstLine="1304"/>
        <w:spacing w:after="0" w:line="262" w:lineRule="auto"/>
        <w:tabs>
          <w:tab w:leader="none" w:pos="1938"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6" w:lineRule="exact"/>
        <w:rPr>
          <w:rFonts w:ascii="Times New Roman" w:cs="Times New Roman" w:eastAsia="Times New Roman" w:hAnsi="Times New Roman"/>
          <w:sz w:val="21"/>
          <w:szCs w:val="21"/>
          <w:b w:val="1"/>
          <w:bCs w:val="1"/>
          <w:color w:val="auto"/>
        </w:rPr>
      </w:pPr>
    </w:p>
    <w:p>
      <w:pPr>
        <w:jc w:val="both"/>
        <w:ind w:firstLine="1304"/>
        <w:spacing w:after="0" w:line="261" w:lineRule="auto"/>
        <w:tabs>
          <w:tab w:leader="none" w:pos="1941"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7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 such rescission and annulment shall extend to or shall affect any subsequent default or impair any right consequent thereon.</w:t>
      </w:r>
    </w:p>
    <w:p>
      <w:pPr>
        <w:spacing w:after="0" w:line="158" w:lineRule="exact"/>
        <w:rPr>
          <w:sz w:val="20"/>
          <w:szCs w:val="20"/>
          <w:color w:val="auto"/>
        </w:rPr>
      </w:pPr>
    </w:p>
    <w:p>
      <w:pPr>
        <w:jc w:val="both"/>
        <w:ind w:firstLine="1304"/>
        <w:spacing w:after="0" w:line="251" w:lineRule="auto"/>
        <w:tabs>
          <w:tab w:leader="none" w:pos="1938"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6.02</w:t>
      </w:r>
      <w:r>
        <w:rPr>
          <w:sz w:val="20"/>
          <w:szCs w:val="20"/>
          <w:color w:val="auto"/>
        </w:rPr>
        <w:tab/>
      </w:r>
      <w:r>
        <w:rPr>
          <w:rFonts w:ascii="Times New Roman" w:cs="Times New Roman" w:eastAsia="Times New Roman" w:hAnsi="Times New Roman"/>
          <w:sz w:val="21"/>
          <w:szCs w:val="21"/>
          <w:b w:val="1"/>
          <w:bCs w:val="1"/>
          <w:color w:val="auto"/>
        </w:rPr>
        <w:t>Collection of Indebtedness and Suits for Enforcement by Trustee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81" w:lineRule="auto"/>
        <w:tabs>
          <w:tab w:leader="none" w:pos="1939"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49" w:lineRule="auto"/>
        <w:rPr>
          <w:sz w:val="20"/>
          <w:szCs w:val="20"/>
          <w:color w:val="auto"/>
        </w:rPr>
      </w:pPr>
      <w:r>
        <w:rPr>
          <w:rFonts w:ascii="Times New Roman" w:cs="Times New Roman" w:eastAsia="Times New Roman" w:hAnsi="Times New Roman"/>
          <w:sz w:val="22"/>
          <w:szCs w:val="22"/>
          <w:color w:val="auto"/>
        </w:rPr>
        <w:t>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95" w:lineRule="exact"/>
        <w:rPr>
          <w:sz w:val="20"/>
          <w:szCs w:val="20"/>
          <w:color w:val="auto"/>
        </w:rPr>
      </w:pPr>
    </w:p>
    <w:p>
      <w:pPr>
        <w:jc w:val="both"/>
        <w:ind w:firstLine="1304"/>
        <w:spacing w:after="0" w:line="248" w:lineRule="auto"/>
        <w:tabs>
          <w:tab w:leader="none" w:pos="1938"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8"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8"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147" w:name="page148"/>
    <w:bookmarkEnd w:id="14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6.03</w:t>
      </w:r>
      <w:r>
        <w:rPr>
          <w:sz w:val="20"/>
          <w:szCs w:val="20"/>
          <w:color w:val="auto"/>
        </w:rPr>
        <w:tab/>
      </w:r>
      <w:r>
        <w:rPr>
          <w:rFonts w:ascii="Times New Roman" w:cs="Times New Roman" w:eastAsia="Times New Roman" w:hAnsi="Times New Roman"/>
          <w:sz w:val="21"/>
          <w:szCs w:val="21"/>
          <w:b w:val="1"/>
          <w:bCs w:val="1"/>
          <w:color w:val="auto"/>
        </w:rPr>
        <w:t>Application of Moneys Collected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FIRST: To the payment of costs and expenses of collection and of all amounts payable to the Trustee under Section 7.06;</w:t>
      </w:r>
    </w:p>
    <w:p>
      <w:pPr>
        <w:spacing w:after="0" w:line="2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THIRD: To the payment of the remainder, if any, to the Company or any other Person lawfully entitled thereto.</w:t>
      </w:r>
    </w:p>
    <w:p>
      <w:pPr>
        <w:spacing w:after="0" w:line="21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6.04</w:t>
      </w:r>
      <w:r>
        <w:rPr>
          <w:sz w:val="20"/>
          <w:szCs w:val="20"/>
          <w:color w:val="auto"/>
        </w:rPr>
        <w:tab/>
      </w:r>
      <w:r>
        <w:rPr>
          <w:rFonts w:ascii="Times New Roman" w:cs="Times New Roman" w:eastAsia="Times New Roman" w:hAnsi="Times New Roman"/>
          <w:sz w:val="21"/>
          <w:szCs w:val="21"/>
          <w:b w:val="1"/>
          <w:bCs w:val="1"/>
          <w:color w:val="auto"/>
        </w:rPr>
        <w:t>Limitation on Suits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75" w:lineRule="auto"/>
        <w:rPr>
          <w:sz w:val="20"/>
          <w:szCs w:val="20"/>
          <w:color w:val="auto"/>
        </w:rPr>
      </w:pPr>
      <w:r>
        <w:rPr>
          <w:rFonts w:ascii="Times New Roman" w:cs="Times New Roman" w:eastAsia="Times New Roman" w:hAnsi="Times New Roman"/>
          <w:sz w:val="21"/>
          <w:szCs w:val="21"/>
          <w:color w:val="auto"/>
        </w:rPr>
        <w:t>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8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6.05</w:t>
      </w:r>
      <w:r>
        <w:rPr>
          <w:sz w:val="20"/>
          <w:szCs w:val="20"/>
          <w:color w:val="auto"/>
        </w:rPr>
        <w:tab/>
      </w:r>
      <w:r>
        <w:rPr>
          <w:rFonts w:ascii="Times New Roman" w:cs="Times New Roman" w:eastAsia="Times New Roman" w:hAnsi="Times New Roman"/>
          <w:sz w:val="21"/>
          <w:szCs w:val="21"/>
          <w:b w:val="1"/>
          <w:bCs w:val="1"/>
          <w:color w:val="auto"/>
        </w:rPr>
        <w:t>Rights and Remedies Cumulative; Delay or Omission Not Waiver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3" w:lineRule="auto"/>
        <w:tabs>
          <w:tab w:leader="none" w:pos="1939"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8"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38"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6.06</w:t>
      </w:r>
      <w:r>
        <w:rPr>
          <w:sz w:val="20"/>
          <w:szCs w:val="20"/>
          <w:color w:val="auto"/>
        </w:rPr>
        <w:tab/>
      </w:r>
      <w:r>
        <w:rPr>
          <w:rFonts w:ascii="Times New Roman" w:cs="Times New Roman" w:eastAsia="Times New Roman" w:hAnsi="Times New Roman"/>
          <w:sz w:val="21"/>
          <w:szCs w:val="21"/>
          <w:b w:val="1"/>
          <w:bCs w:val="1"/>
          <w:color w:val="auto"/>
        </w:rPr>
        <w:t>Control by Securityholders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48" w:lineRule="auto"/>
        <w:rPr>
          <w:sz w:val="20"/>
          <w:szCs w:val="20"/>
          <w:color w:val="auto"/>
        </w:rPr>
      </w:pPr>
      <w:r>
        <w:rPr>
          <w:rFonts w:ascii="Times New Roman" w:cs="Times New Roman" w:eastAsia="Times New Roman" w:hAnsi="Times New Roman"/>
          <w:sz w:val="22"/>
          <w:szCs w:val="22"/>
          <w:color w:val="auto"/>
        </w:rPr>
        <w:t>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6.07</w:t>
      </w:r>
      <w:r>
        <w:rPr>
          <w:sz w:val="20"/>
          <w:szCs w:val="20"/>
          <w:color w:val="auto"/>
        </w:rPr>
        <w:tab/>
      </w:r>
      <w:r>
        <w:rPr>
          <w:rFonts w:ascii="Times New Roman" w:cs="Times New Roman" w:eastAsia="Times New Roman" w:hAnsi="Times New Roman"/>
          <w:sz w:val="21"/>
          <w:szCs w:val="21"/>
          <w:b w:val="1"/>
          <w:bCs w:val="1"/>
          <w:color w:val="auto"/>
        </w:rPr>
        <w:t>Undertaking to Pay Costs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CONCERNING THE TRUSTEE</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7.01</w:t>
      </w:r>
      <w:r>
        <w:rPr>
          <w:sz w:val="20"/>
          <w:szCs w:val="20"/>
          <w:color w:val="auto"/>
        </w:rPr>
        <w:tab/>
      </w:r>
      <w:r>
        <w:rPr>
          <w:rFonts w:ascii="Times New Roman" w:cs="Times New Roman" w:eastAsia="Times New Roman" w:hAnsi="Times New Roman"/>
          <w:sz w:val="21"/>
          <w:szCs w:val="21"/>
          <w:b w:val="1"/>
          <w:bCs w:val="1"/>
          <w:color w:val="auto"/>
        </w:rPr>
        <w:t>Certain Duties and Responsibilities of Trustee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63" w:lineRule="auto"/>
        <w:tabs>
          <w:tab w:leader="none" w:pos="1939"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22"/>
          <w:szCs w:val="22"/>
          <w:color w:val="auto"/>
        </w:rPr>
        <w:t>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79" w:lineRule="exact"/>
        <w:rPr>
          <w:sz w:val="20"/>
          <w:szCs w:val="20"/>
          <w:color w:val="auto"/>
        </w:rPr>
      </w:pPr>
    </w:p>
    <w:p>
      <w:pPr>
        <w:ind w:firstLine="1304"/>
        <w:spacing w:after="0" w:line="271" w:lineRule="auto"/>
        <w:tabs>
          <w:tab w:leader="none" w:pos="1938"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provision of this Indenture shall be construed to relieve the Trustee from liability for its own negligent action, its own negligent failure to act, or its own willful misconduct, except that:</w:t>
      </w:r>
    </w:p>
    <w:p>
      <w:pPr>
        <w:spacing w:after="0" w:line="158" w:lineRule="exact"/>
        <w:rPr>
          <w:sz w:val="20"/>
          <w:szCs w:val="20"/>
          <w:color w:val="auto"/>
        </w:rPr>
      </w:pPr>
    </w:p>
    <w:p>
      <w:pPr>
        <w:ind w:firstLine="1304"/>
        <w:spacing w:after="0" w:line="284" w:lineRule="auto"/>
        <w:tabs>
          <w:tab w:leader="none" w:pos="1932"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the occurrence of an Event of Default with respect to the Securities of a series and after the curing or waiving of all such Events of Default with respect to that series that may have occurred:</w:t>
      </w:r>
    </w:p>
    <w:p>
      <w:pPr>
        <w:spacing w:after="0" w:line="143" w:lineRule="exact"/>
        <w:rPr>
          <w:rFonts w:ascii="Times New Roman" w:cs="Times New Roman" w:eastAsia="Times New Roman" w:hAnsi="Times New Roman"/>
          <w:sz w:val="22"/>
          <w:szCs w:val="22"/>
          <w:b w:val="1"/>
          <w:bCs w:val="1"/>
          <w:color w:val="auto"/>
        </w:rPr>
      </w:pPr>
    </w:p>
    <w:p>
      <w:pPr>
        <w:jc w:val="both"/>
        <w:ind w:firstLine="1952"/>
        <w:spacing w:after="0" w:line="252" w:lineRule="auto"/>
        <w:tabs>
          <w:tab w:leader="none" w:pos="2581"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22"/>
          <w:szCs w:val="22"/>
          <w:b w:val="1"/>
          <w:bCs w:val="1"/>
          <w:color w:val="auto"/>
        </w:rPr>
      </w:pPr>
    </w:p>
    <w:p>
      <w:pPr>
        <w:jc w:val="both"/>
        <w:ind w:firstLine="1952"/>
        <w:spacing w:after="0" w:line="268" w:lineRule="auto"/>
        <w:tabs>
          <w:tab w:leader="none" w:pos="2583" w:val="left"/>
        </w:tabs>
        <w:numPr>
          <w:ilvl w:val="1"/>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63" w:lineRule="exact"/>
        <w:rPr>
          <w:rFonts w:ascii="Times New Roman" w:cs="Times New Roman" w:eastAsia="Times New Roman" w:hAnsi="Times New Roman"/>
          <w:sz w:val="21"/>
          <w:szCs w:val="21"/>
          <w:b w:val="1"/>
          <w:bCs w:val="1"/>
          <w:color w:val="auto"/>
        </w:rPr>
      </w:pPr>
    </w:p>
    <w:p>
      <w:pPr>
        <w:jc w:val="both"/>
        <w:ind w:firstLine="1304"/>
        <w:spacing w:after="0" w:line="263" w:lineRule="auto"/>
        <w:tabs>
          <w:tab w:leader="none" w:pos="193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67"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944"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6"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2"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271" w:lineRule="auto"/>
        <w:rPr>
          <w:sz w:val="20"/>
          <w:szCs w:val="20"/>
          <w:color w:val="auto"/>
        </w:rPr>
      </w:pPr>
      <w:r>
        <w:rPr>
          <w:rFonts w:ascii="Times New Roman" w:cs="Times New Roman" w:eastAsia="Times New Roman" w:hAnsi="Times New Roman"/>
          <w:sz w:val="22"/>
          <w:szCs w:val="22"/>
          <w:color w:val="auto"/>
        </w:rPr>
        <w:t>for believing that the repayment of such funds or liability is not reasonably assured to it under the terms of this Indenture or adequate indemnity against such risk is not reasonably assured to it;</w:t>
      </w:r>
    </w:p>
    <w:p>
      <w:pPr>
        <w:spacing w:after="0" w:line="158" w:lineRule="exact"/>
        <w:rPr>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Trustee shall not be required to give any bond or surety in respect of the performance of its powers or</w:t>
      </w:r>
    </w:p>
    <w:p>
      <w:pPr>
        <w:spacing w:after="0" w:line="40"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duties hereunder;</w:t>
      </w:r>
    </w:p>
    <w:p>
      <w:pPr>
        <w:spacing w:after="0" w:line="207" w:lineRule="exact"/>
        <w:rPr>
          <w:rFonts w:ascii="Times New Roman" w:cs="Times New Roman" w:eastAsia="Times New Roman" w:hAnsi="Times New Roman"/>
          <w:sz w:val="21"/>
          <w:szCs w:val="21"/>
          <w:b w:val="1"/>
          <w:bCs w:val="1"/>
          <w:color w:val="auto"/>
        </w:rPr>
      </w:pPr>
    </w:p>
    <w:p>
      <w:pPr>
        <w:ind w:firstLine="1304"/>
        <w:spacing w:after="0" w:line="271" w:lineRule="auto"/>
        <w:tabs>
          <w:tab w:leader="none" w:pos="1932"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permissive right of the Trustee to do things enumerated in this Indenture shall not be construed as a duty of the Trustee; and</w:t>
      </w:r>
    </w:p>
    <w:p>
      <w:pPr>
        <w:spacing w:after="0" w:line="157"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Trustee shall have any duty or responsibility for any act or omission of any other Trustee appointed with respect to a series of Securities hereunder.</w:t>
      </w:r>
    </w:p>
    <w:p>
      <w:pPr>
        <w:spacing w:after="0" w:line="16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7.02</w:t>
      </w:r>
      <w:r>
        <w:rPr>
          <w:sz w:val="20"/>
          <w:szCs w:val="20"/>
          <w:color w:val="auto"/>
        </w:rPr>
        <w:tab/>
      </w:r>
      <w:r>
        <w:rPr>
          <w:rFonts w:ascii="Times New Roman" w:cs="Times New Roman" w:eastAsia="Times New Roman" w:hAnsi="Times New Roman"/>
          <w:sz w:val="21"/>
          <w:szCs w:val="21"/>
          <w:b w:val="1"/>
          <w:bCs w:val="1"/>
          <w:color w:val="auto"/>
        </w:rPr>
        <w:t>Certain Rights of Trustee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otherwise provided in Section 7.01:</w:t>
      </w:r>
    </w:p>
    <w:p>
      <w:pPr>
        <w:spacing w:after="0" w:line="220" w:lineRule="exact"/>
        <w:rPr>
          <w:sz w:val="20"/>
          <w:szCs w:val="20"/>
          <w:color w:val="auto"/>
        </w:rPr>
      </w:pPr>
    </w:p>
    <w:p>
      <w:pPr>
        <w:jc w:val="both"/>
        <w:ind w:firstLine="1304"/>
        <w:spacing w:after="0" w:line="257" w:lineRule="auto"/>
        <w:tabs>
          <w:tab w:leader="none" w:pos="1939"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3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6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86"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3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81" w:lineRule="exact"/>
        <w:rPr>
          <w:rFonts w:ascii="Times New Roman" w:cs="Times New Roman" w:eastAsia="Times New Roman" w:hAnsi="Times New Roman"/>
          <w:sz w:val="22"/>
          <w:szCs w:val="22"/>
          <w:b w:val="1"/>
          <w:bCs w:val="1"/>
          <w:color w:val="auto"/>
        </w:rPr>
      </w:pPr>
    </w:p>
    <w:p>
      <w:pPr>
        <w:ind w:right="20" w:firstLine="1304"/>
        <w:spacing w:after="0" w:line="271" w:lineRule="auto"/>
        <w:tabs>
          <w:tab w:leader="none" w:pos="194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not be liable for any action taken or omitted to be taken by it in good faith and believed by it to be authorized or within the discretion or rights or powers conferred upon it by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1304"/>
        <w:spacing w:after="0" w:line="249" w:lineRule="auto"/>
        <w:tabs>
          <w:tab w:leader="none" w:pos="1944"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9"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3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94"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2"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4"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75" w:lineRule="auto"/>
        <w:rPr>
          <w:sz w:val="20"/>
          <w:szCs w:val="20"/>
          <w:color w:val="auto"/>
        </w:rPr>
      </w:pPr>
      <w:r>
        <w:rPr>
          <w:rFonts w:ascii="Times New Roman" w:cs="Times New Roman" w:eastAsia="Times New Roman" w:hAnsi="Times New Roman"/>
          <w:sz w:val="21"/>
          <w:szCs w:val="21"/>
          <w:color w:val="auto"/>
        </w:rPr>
        <w:t>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69" w:lineRule="exact"/>
        <w:rPr>
          <w:sz w:val="20"/>
          <w:szCs w:val="20"/>
          <w:color w:val="auto"/>
        </w:rPr>
      </w:pPr>
    </w:p>
    <w:p>
      <w:pPr>
        <w:jc w:val="both"/>
        <w:ind w:firstLine="1304"/>
        <w:spacing w:after="0" w:line="257" w:lineRule="auto"/>
        <w:tabs>
          <w:tab w:leader="none" w:pos="1938"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932"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7.03</w:t>
      </w:r>
      <w:r>
        <w:rPr>
          <w:sz w:val="20"/>
          <w:szCs w:val="20"/>
          <w:color w:val="auto"/>
        </w:rPr>
        <w:tab/>
      </w:r>
      <w:r>
        <w:rPr>
          <w:rFonts w:ascii="Times New Roman" w:cs="Times New Roman" w:eastAsia="Times New Roman" w:hAnsi="Times New Roman"/>
          <w:sz w:val="21"/>
          <w:szCs w:val="21"/>
          <w:b w:val="1"/>
          <w:bCs w:val="1"/>
          <w:color w:val="auto"/>
        </w:rPr>
        <w:t>Trustee Not Responsible for Recitals or Issuance or Securities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6" w:lineRule="auto"/>
        <w:tabs>
          <w:tab w:leader="none" w:pos="1939"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76"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Trustee makes no representations as to the validity or sufficiency of this Indenture or of the Securities.</w:t>
      </w:r>
    </w:p>
    <w:p>
      <w:pPr>
        <w:spacing w:after="0" w:line="231" w:lineRule="exact"/>
        <w:rPr>
          <w:rFonts w:ascii="Times New Roman" w:cs="Times New Roman" w:eastAsia="Times New Roman" w:hAnsi="Times New Roman"/>
          <w:sz w:val="21"/>
          <w:szCs w:val="21"/>
          <w:b w:val="1"/>
          <w:bCs w:val="1"/>
          <w:color w:val="auto"/>
        </w:rPr>
      </w:pPr>
    </w:p>
    <w:p>
      <w:pPr>
        <w:jc w:val="both"/>
        <w:ind w:firstLine="1304"/>
        <w:spacing w:after="0" w:line="256" w:lineRule="auto"/>
        <w:tabs>
          <w:tab w:leader="none" w:pos="1941"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7.04</w:t>
      </w:r>
      <w:r>
        <w:rPr>
          <w:sz w:val="20"/>
          <w:szCs w:val="20"/>
          <w:color w:val="auto"/>
        </w:rPr>
        <w:tab/>
      </w:r>
      <w:r>
        <w:rPr>
          <w:rFonts w:ascii="Times New Roman" w:cs="Times New Roman" w:eastAsia="Times New Roman" w:hAnsi="Times New Roman"/>
          <w:sz w:val="21"/>
          <w:szCs w:val="21"/>
          <w:b w:val="1"/>
          <w:bCs w:val="1"/>
          <w:color w:val="auto"/>
        </w:rPr>
        <w:t>May Hold Securities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7.05</w:t>
      </w:r>
      <w:r>
        <w:rPr>
          <w:sz w:val="20"/>
          <w:szCs w:val="20"/>
          <w:color w:val="auto"/>
        </w:rPr>
        <w:tab/>
      </w:r>
      <w:r>
        <w:rPr>
          <w:rFonts w:ascii="Times New Roman" w:cs="Times New Roman" w:eastAsia="Times New Roman" w:hAnsi="Times New Roman"/>
          <w:sz w:val="21"/>
          <w:szCs w:val="21"/>
          <w:b w:val="1"/>
          <w:bCs w:val="1"/>
          <w:color w:val="auto"/>
        </w:rPr>
        <w:t>Moneys Held in Trust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154" w:name="page155"/>
    <w:bookmarkEnd w:id="154"/>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7.06</w:t>
      </w:r>
      <w:r>
        <w:rPr>
          <w:sz w:val="20"/>
          <w:szCs w:val="20"/>
          <w:color w:val="auto"/>
        </w:rPr>
        <w:tab/>
      </w:r>
      <w:r>
        <w:rPr>
          <w:rFonts w:ascii="Times New Roman" w:cs="Times New Roman" w:eastAsia="Times New Roman" w:hAnsi="Times New Roman"/>
          <w:sz w:val="21"/>
          <w:szCs w:val="21"/>
          <w:b w:val="1"/>
          <w:bCs w:val="1"/>
          <w:color w:val="auto"/>
        </w:rPr>
        <w:t>Compensation and Reimbursement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3" w:lineRule="auto"/>
        <w:tabs>
          <w:tab w:leader="none" w:pos="1993"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8"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38"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95"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1"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need not reimburse any expense or indemnify against any loss or liability incurred by the Trustee or by any officer, director, employee, shareholder or agent of the Trustee through negligence or bad faith.</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38"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7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7.07</w:t>
      </w:r>
      <w:r>
        <w:rPr>
          <w:sz w:val="20"/>
          <w:szCs w:val="20"/>
          <w:color w:val="auto"/>
        </w:rPr>
        <w:tab/>
      </w:r>
      <w:r>
        <w:rPr>
          <w:rFonts w:ascii="Times New Roman" w:cs="Times New Roman" w:eastAsia="Times New Roman" w:hAnsi="Times New Roman"/>
          <w:sz w:val="21"/>
          <w:szCs w:val="21"/>
          <w:b w:val="1"/>
          <w:bCs w:val="1"/>
          <w:color w:val="auto"/>
        </w:rPr>
        <w:t>Reliance on Officer’s Certificate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18" w:right="339" w:bottom="1440" w:gutter="0" w:footer="0" w:header="0"/>
        </w:sectPr>
      </w:pPr>
    </w:p>
    <w:bookmarkStart w:id="155" w:name="page156"/>
    <w:bookmarkEnd w:id="155"/>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7.08</w:t>
      </w:r>
      <w:r>
        <w:rPr>
          <w:sz w:val="20"/>
          <w:szCs w:val="20"/>
          <w:color w:val="auto"/>
        </w:rPr>
        <w:tab/>
      </w:r>
      <w:r>
        <w:rPr>
          <w:rFonts w:ascii="Times New Roman" w:cs="Times New Roman" w:eastAsia="Times New Roman" w:hAnsi="Times New Roman"/>
          <w:sz w:val="21"/>
          <w:szCs w:val="21"/>
          <w:b w:val="1"/>
          <w:bCs w:val="1"/>
          <w:color w:val="auto"/>
        </w:rPr>
        <w:t>Disqualification; Conflicting Interests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7.09</w:t>
      </w:r>
      <w:r>
        <w:rPr>
          <w:sz w:val="20"/>
          <w:szCs w:val="20"/>
          <w:color w:val="auto"/>
        </w:rPr>
        <w:tab/>
      </w:r>
      <w:r>
        <w:rPr>
          <w:rFonts w:ascii="Times New Roman" w:cs="Times New Roman" w:eastAsia="Times New Roman" w:hAnsi="Times New Roman"/>
          <w:sz w:val="21"/>
          <w:szCs w:val="21"/>
          <w:b w:val="1"/>
          <w:bCs w:val="1"/>
          <w:color w:val="auto"/>
        </w:rPr>
        <w:t>Corporate Trustee Required; Eligibility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6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7.10</w:t>
      </w:r>
      <w:r>
        <w:rPr>
          <w:sz w:val="20"/>
          <w:szCs w:val="20"/>
          <w:color w:val="auto"/>
        </w:rPr>
        <w:tab/>
      </w:r>
      <w:r>
        <w:rPr>
          <w:rFonts w:ascii="Times New Roman" w:cs="Times New Roman" w:eastAsia="Times New Roman" w:hAnsi="Times New Roman"/>
          <w:sz w:val="21"/>
          <w:szCs w:val="21"/>
          <w:b w:val="1"/>
          <w:bCs w:val="1"/>
          <w:color w:val="auto"/>
        </w:rPr>
        <w:t>Resignation and Removal; Appointment of Successor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49" w:lineRule="auto"/>
        <w:tabs>
          <w:tab w:leader="none" w:pos="1939"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18" w:right="339" w:bottom="1440" w:gutter="0" w:footer="0" w:header="0"/>
        </w:sectPr>
      </w:pPr>
    </w:p>
    <w:bookmarkStart w:id="156" w:name="page157"/>
    <w:bookmarkEnd w:id="156"/>
    <w:p>
      <w:pPr>
        <w:ind w:left="1940" w:hanging="636"/>
        <w:spacing w:after="0"/>
        <w:tabs>
          <w:tab w:leader="none" w:pos="194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at any time any one of the following shall occur:</w:t>
      </w:r>
    </w:p>
    <w:p>
      <w:pPr>
        <w:spacing w:after="0" w:line="219"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0" w:val="left"/>
        </w:tabs>
        <w:numPr>
          <w:ilvl w:val="1"/>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1"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6" w:val="left"/>
        </w:tabs>
        <w:numPr>
          <w:ilvl w:val="1"/>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cease to be eligible in accordance with the provisions of Section 7.09 and shall fail to resign after written request therefor by the Company or by any such Securityholder; or</w:t>
      </w:r>
    </w:p>
    <w:p>
      <w:pPr>
        <w:spacing w:after="0" w:line="157" w:lineRule="exact"/>
        <w:rPr>
          <w:rFonts w:ascii="Times New Roman" w:cs="Times New Roman" w:eastAsia="Times New Roman" w:hAnsi="Times New Roman"/>
          <w:sz w:val="22"/>
          <w:szCs w:val="22"/>
          <w:b w:val="1"/>
          <w:bCs w:val="1"/>
          <w:color w:val="auto"/>
        </w:rPr>
      </w:pPr>
    </w:p>
    <w:p>
      <w:pPr>
        <w:jc w:val="both"/>
        <w:ind w:firstLine="1952"/>
        <w:spacing w:after="0" w:line="256" w:lineRule="auto"/>
        <w:tabs>
          <w:tab w:leader="none" w:pos="2592" w:val="left"/>
        </w:tabs>
        <w:numPr>
          <w:ilvl w:val="1"/>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1" w:lineRule="exact"/>
        <w:rPr>
          <w:sz w:val="20"/>
          <w:szCs w:val="20"/>
          <w:color w:val="auto"/>
        </w:rPr>
      </w:pPr>
    </w:p>
    <w:p>
      <w:pPr>
        <w:jc w:val="both"/>
        <w:ind w:firstLine="1304"/>
        <w:spacing w:after="0" w:line="257" w:lineRule="auto"/>
        <w:tabs>
          <w:tab w:leader="none" w:pos="1941"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38"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7.11</w:t>
      </w:r>
      <w:r>
        <w:rPr>
          <w:sz w:val="20"/>
          <w:szCs w:val="20"/>
          <w:color w:val="auto"/>
        </w:rPr>
        <w:tab/>
      </w:r>
      <w:r>
        <w:rPr>
          <w:rFonts w:ascii="Times New Roman" w:cs="Times New Roman" w:eastAsia="Times New Roman" w:hAnsi="Times New Roman"/>
          <w:sz w:val="21"/>
          <w:szCs w:val="21"/>
          <w:b w:val="1"/>
          <w:bCs w:val="1"/>
          <w:color w:val="auto"/>
        </w:rPr>
        <w:t>Acceptance of Appointment By Successor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2" w:lineRule="auto"/>
        <w:tabs>
          <w:tab w:leader="none" w:pos="1939"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56" w:lineRule="auto"/>
        <w:rPr>
          <w:sz w:val="20"/>
          <w:szCs w:val="20"/>
          <w:color w:val="auto"/>
        </w:rPr>
      </w:pPr>
      <w:r>
        <w:rPr>
          <w:rFonts w:ascii="Times New Roman" w:cs="Times New Roman" w:eastAsia="Times New Roman" w:hAnsi="Times New Roman"/>
          <w:sz w:val="22"/>
          <w:szCs w:val="22"/>
          <w:color w:val="auto"/>
        </w:rPr>
        <w:t>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6" w:lineRule="exact"/>
        <w:rPr>
          <w:sz w:val="20"/>
          <w:szCs w:val="20"/>
          <w:color w:val="auto"/>
        </w:rPr>
      </w:pPr>
    </w:p>
    <w:p>
      <w:pPr>
        <w:jc w:val="both"/>
        <w:ind w:firstLine="1304"/>
        <w:spacing w:after="0" w:line="247" w:lineRule="auto"/>
        <w:tabs>
          <w:tab w:leader="none" w:pos="1938"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1941"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request of any such successor trustee, the Company shall execute any and all instruments for more fully and certainly vesting in and confirming to such successor trustee all such rights, powers and trusts referred to in paragraph</w:t>
      </w:r>
    </w:p>
    <w:p>
      <w:pPr>
        <w:spacing w:after="0" w:line="1" w:lineRule="exact"/>
        <w:rPr>
          <w:rFonts w:ascii="Times New Roman" w:cs="Times New Roman" w:eastAsia="Times New Roman" w:hAnsi="Times New Roman"/>
          <w:sz w:val="22"/>
          <w:szCs w:val="22"/>
          <w:b w:val="1"/>
          <w:bCs w:val="1"/>
          <w:color w:val="auto"/>
        </w:rPr>
      </w:pPr>
    </w:p>
    <w:p>
      <w:pPr>
        <w:ind w:left="300" w:hanging="292"/>
        <w:spacing w:after="0"/>
        <w:tabs>
          <w:tab w:leader="none" w:pos="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of this Section, as the case may be.</w:t>
      </w:r>
    </w:p>
    <w:p>
      <w:pPr>
        <w:spacing w:after="0" w:line="195" w:lineRule="exact"/>
        <w:rPr>
          <w:rFonts w:ascii="Times New Roman" w:cs="Times New Roman" w:eastAsia="Times New Roman" w:hAnsi="Times New Roman"/>
          <w:sz w:val="22"/>
          <w:szCs w:val="22"/>
          <w:color w:val="auto"/>
        </w:rPr>
      </w:pPr>
    </w:p>
    <w:p>
      <w:pPr>
        <w:ind w:right="20" w:firstLine="1304"/>
        <w:spacing w:after="0" w:line="284" w:lineRule="auto"/>
        <w:tabs>
          <w:tab w:leader="none" w:pos="1938"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successor trustee shall accept its appointment unless at the time of such acceptance such successor trustee shall be qualified and eligible under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158" w:name="page159"/>
    <w:bookmarkEnd w:id="158"/>
    <w:p>
      <w:pPr>
        <w:jc w:val="both"/>
        <w:ind w:firstLine="1304"/>
        <w:spacing w:after="0" w:line="256" w:lineRule="auto"/>
        <w:tabs>
          <w:tab w:leader="none" w:pos="1941"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7.12</w:t>
      </w:r>
      <w:r>
        <w:rPr>
          <w:sz w:val="20"/>
          <w:szCs w:val="20"/>
          <w:color w:val="auto"/>
        </w:rPr>
        <w:tab/>
      </w:r>
      <w:r>
        <w:rPr>
          <w:rFonts w:ascii="Times New Roman" w:cs="Times New Roman" w:eastAsia="Times New Roman" w:hAnsi="Times New Roman"/>
          <w:sz w:val="21"/>
          <w:szCs w:val="21"/>
          <w:b w:val="1"/>
          <w:bCs w:val="1"/>
          <w:color w:val="auto"/>
        </w:rPr>
        <w:t>Merger, Conversion, Consolidation or Succession to Business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9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7.13</w:t>
      </w:r>
      <w:r>
        <w:rPr>
          <w:sz w:val="20"/>
          <w:szCs w:val="20"/>
          <w:color w:val="auto"/>
        </w:rPr>
        <w:tab/>
      </w:r>
      <w:r>
        <w:rPr>
          <w:rFonts w:ascii="Times New Roman" w:cs="Times New Roman" w:eastAsia="Times New Roman" w:hAnsi="Times New Roman"/>
          <w:sz w:val="21"/>
          <w:szCs w:val="21"/>
          <w:b w:val="1"/>
          <w:bCs w:val="1"/>
          <w:color w:val="auto"/>
        </w:rPr>
        <w:t>Preferential Collection of Claims Against the Company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7.14</w:t>
      </w:r>
      <w:r>
        <w:rPr>
          <w:sz w:val="20"/>
          <w:szCs w:val="20"/>
          <w:color w:val="auto"/>
        </w:rPr>
        <w:tab/>
      </w:r>
      <w:r>
        <w:rPr>
          <w:rFonts w:ascii="Times New Roman" w:cs="Times New Roman" w:eastAsia="Times New Roman" w:hAnsi="Times New Roman"/>
          <w:sz w:val="21"/>
          <w:szCs w:val="21"/>
          <w:b w:val="1"/>
          <w:bCs w:val="1"/>
          <w:color w:val="auto"/>
        </w:rPr>
        <w:t>Notice of Default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in the case of a default in the payment of the principal of (or premium, if any) or interest 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the Trustee shall be protected in withholding such notice if and so long as the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59" w:name="page160"/>
    <w:bookmarkEnd w:id="159"/>
    <w:p>
      <w:pPr>
        <w:ind w:left="506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CONCERNING THE SECURITYHOLDERS</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8.01</w:t>
      </w:r>
      <w:r>
        <w:rPr>
          <w:sz w:val="20"/>
          <w:szCs w:val="20"/>
          <w:color w:val="auto"/>
        </w:rPr>
        <w:tab/>
      </w:r>
      <w:r>
        <w:rPr>
          <w:rFonts w:ascii="Times New Roman" w:cs="Times New Roman" w:eastAsia="Times New Roman" w:hAnsi="Times New Roman"/>
          <w:sz w:val="21"/>
          <w:szCs w:val="21"/>
          <w:b w:val="1"/>
          <w:bCs w:val="1"/>
          <w:color w:val="auto"/>
        </w:rPr>
        <w:t>Evidence of Action by Securityholders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8.02</w:t>
      </w:r>
      <w:r>
        <w:rPr>
          <w:sz w:val="20"/>
          <w:szCs w:val="20"/>
          <w:color w:val="auto"/>
        </w:rPr>
        <w:tab/>
      </w:r>
      <w:r>
        <w:rPr>
          <w:rFonts w:ascii="Times New Roman" w:cs="Times New Roman" w:eastAsia="Times New Roman" w:hAnsi="Times New Roman"/>
          <w:sz w:val="21"/>
          <w:szCs w:val="21"/>
          <w:b w:val="1"/>
          <w:bCs w:val="1"/>
          <w:color w:val="auto"/>
        </w:rPr>
        <w:t>Proof of Execution by Securityholders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86" w:lineRule="exact"/>
        <w:rPr>
          <w:sz w:val="20"/>
          <w:szCs w:val="20"/>
          <w:color w:val="auto"/>
        </w:rPr>
      </w:pPr>
    </w:p>
    <w:p>
      <w:pPr>
        <w:ind w:right="20" w:firstLine="1304"/>
        <w:spacing w:after="0" w:line="271" w:lineRule="auto"/>
        <w:tabs>
          <w:tab w:leader="none" w:pos="1939"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fact and date of the execution by any such Person of any instrument may be proved in any reasonable manner acceptable to the Trustee.</w:t>
      </w:r>
    </w:p>
    <w:p>
      <w:pPr>
        <w:spacing w:after="0" w:line="157"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8"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ownership of Securities shall be proved by the Security Register of such Securities or by a certificate of the Security Registrar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Trustee may require such additional proof of any matter referred to in this Section as it shall deem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18" w:right="339" w:bottom="1440" w:gutter="0" w:footer="0" w:header="0"/>
        </w:sectPr>
      </w:pPr>
    </w:p>
    <w:bookmarkStart w:id="160" w:name="page161"/>
    <w:bookmarkEnd w:id="160"/>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8.03</w:t>
      </w:r>
      <w:r>
        <w:rPr>
          <w:sz w:val="20"/>
          <w:szCs w:val="20"/>
          <w:color w:val="auto"/>
        </w:rPr>
        <w:tab/>
      </w:r>
      <w:r>
        <w:rPr>
          <w:rFonts w:ascii="Times New Roman" w:cs="Times New Roman" w:eastAsia="Times New Roman" w:hAnsi="Times New Roman"/>
          <w:sz w:val="21"/>
          <w:szCs w:val="21"/>
          <w:b w:val="1"/>
          <w:bCs w:val="1"/>
          <w:color w:val="auto"/>
        </w:rPr>
        <w:t>Who May be Deemed Owners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9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8.04</w:t>
      </w:r>
      <w:r>
        <w:rPr>
          <w:sz w:val="20"/>
          <w:szCs w:val="20"/>
          <w:color w:val="auto"/>
        </w:rPr>
        <w:tab/>
      </w:r>
      <w:r>
        <w:rPr>
          <w:rFonts w:ascii="Times New Roman" w:cs="Times New Roman" w:eastAsia="Times New Roman" w:hAnsi="Times New Roman"/>
          <w:sz w:val="21"/>
          <w:szCs w:val="21"/>
          <w:b w:val="1"/>
          <w:bCs w:val="1"/>
          <w:color w:val="auto"/>
        </w:rPr>
        <w:t>Certain Securities Owned by Company Disregarded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8.05</w:t>
      </w:r>
      <w:r>
        <w:rPr>
          <w:sz w:val="20"/>
          <w:szCs w:val="20"/>
          <w:color w:val="auto"/>
        </w:rPr>
        <w:tab/>
      </w:r>
      <w:r>
        <w:rPr>
          <w:rFonts w:ascii="Times New Roman" w:cs="Times New Roman" w:eastAsia="Times New Roman" w:hAnsi="Times New Roman"/>
          <w:sz w:val="21"/>
          <w:szCs w:val="21"/>
          <w:b w:val="1"/>
          <w:bCs w:val="1"/>
          <w:color w:val="auto"/>
        </w:rPr>
        <w:t>Actions Binding on Future Securityholders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18" w:right="339" w:bottom="1440" w:gutter="0" w:footer="0" w:header="0"/>
        </w:sectPr>
      </w:pPr>
    </w:p>
    <w:bookmarkStart w:id="161" w:name="page162"/>
    <w:bookmarkEnd w:id="161"/>
    <w:p>
      <w:pPr>
        <w:ind w:left="506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SUPPLEMENTAL INDENTURES</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9.01</w:t>
      </w:r>
      <w:r>
        <w:rPr>
          <w:sz w:val="20"/>
          <w:szCs w:val="20"/>
          <w:color w:val="auto"/>
        </w:rPr>
        <w:tab/>
      </w:r>
      <w:r>
        <w:rPr>
          <w:rFonts w:ascii="Times New Roman" w:cs="Times New Roman" w:eastAsia="Times New Roman" w:hAnsi="Times New Roman"/>
          <w:sz w:val="21"/>
          <w:szCs w:val="21"/>
          <w:b w:val="1"/>
          <w:bCs w:val="1"/>
          <w:color w:val="auto"/>
        </w:rPr>
        <w:t>Supplemental Indentures Without the Consent of Securityholders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55" w:lineRule="exact"/>
        <w:rPr>
          <w:sz w:val="20"/>
          <w:szCs w:val="20"/>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cure any ambiguity, defect, or inconsistency herein or in the Securities of any series;</w:t>
      </w:r>
    </w:p>
    <w:p>
      <w:pPr>
        <w:spacing w:after="0" w:line="21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comply with Article Ten;</w:t>
      </w:r>
    </w:p>
    <w:p>
      <w:pPr>
        <w:spacing w:after="0" w:line="233"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provide for uncertificated Securities in addition to or in place of certificated Securities;</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38"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1"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1"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add to, delete from, or revise the conditions, limitations, and restrictions on the authorized amount, terms, or purposes of issue, authentication, and delivery of Securities, as herein set forth;</w:t>
      </w:r>
    </w:p>
    <w:p>
      <w:pPr>
        <w:spacing w:after="0" w:line="157"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make any change that does not adversely affect the rights of any Securityholder in any material respect;</w:t>
      </w:r>
    </w:p>
    <w:p>
      <w:pPr>
        <w:spacing w:after="0" w:line="231" w:lineRule="exact"/>
        <w:rPr>
          <w:rFonts w:ascii="Times New Roman" w:cs="Times New Roman" w:eastAsia="Times New Roman" w:hAnsi="Times New Roman"/>
          <w:sz w:val="21"/>
          <w:szCs w:val="21"/>
          <w:b w:val="1"/>
          <w:bCs w:val="1"/>
          <w:color w:val="auto"/>
        </w:rPr>
      </w:pPr>
    </w:p>
    <w:p>
      <w:pPr>
        <w:jc w:val="both"/>
        <w:ind w:firstLine="1304"/>
        <w:spacing w:after="0" w:line="263" w:lineRule="auto"/>
        <w:tabs>
          <w:tab w:leader="none" w:pos="1939"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6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evidence and provide for the acceptance of appointment hereunder by a successor trustee; or</w:t>
      </w:r>
    </w:p>
    <w:p>
      <w:pPr>
        <w:spacing w:after="0" w:line="219"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2"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comply with any requirements of the Commission or any successor in connection with the qualification of this Indenture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18" w:right="339" w:bottom="1440" w:gutter="0" w:footer="0" w:header="0"/>
        </w:sectPr>
      </w:pPr>
    </w:p>
    <w:bookmarkStart w:id="162" w:name="page163"/>
    <w:bookmarkEnd w:id="162"/>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9.02</w:t>
      </w:r>
      <w:r>
        <w:rPr>
          <w:sz w:val="20"/>
          <w:szCs w:val="20"/>
          <w:color w:val="auto"/>
        </w:rPr>
        <w:tab/>
      </w:r>
      <w:r>
        <w:rPr>
          <w:rFonts w:ascii="Times New Roman" w:cs="Times New Roman" w:eastAsia="Times New Roman" w:hAnsi="Times New Roman"/>
          <w:sz w:val="21"/>
          <w:szCs w:val="21"/>
          <w:b w:val="1"/>
          <w:bCs w:val="1"/>
          <w:color w:val="auto"/>
        </w:rPr>
        <w:t>Supplemental Indentures With Consent of Securityholders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9.03</w:t>
      </w:r>
      <w:r>
        <w:rPr>
          <w:sz w:val="20"/>
          <w:szCs w:val="20"/>
          <w:color w:val="auto"/>
        </w:rPr>
        <w:tab/>
      </w:r>
      <w:r>
        <w:rPr>
          <w:rFonts w:ascii="Times New Roman" w:cs="Times New Roman" w:eastAsia="Times New Roman" w:hAnsi="Times New Roman"/>
          <w:sz w:val="21"/>
          <w:szCs w:val="21"/>
          <w:b w:val="1"/>
          <w:bCs w:val="1"/>
          <w:color w:val="auto"/>
        </w:rPr>
        <w:t>Effect of Supplemental Indentures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9.04</w:t>
      </w:r>
      <w:r>
        <w:rPr>
          <w:sz w:val="20"/>
          <w:szCs w:val="20"/>
          <w:color w:val="auto"/>
        </w:rPr>
        <w:tab/>
      </w:r>
      <w:r>
        <w:rPr>
          <w:rFonts w:ascii="Times New Roman" w:cs="Times New Roman" w:eastAsia="Times New Roman" w:hAnsi="Times New Roman"/>
          <w:sz w:val="21"/>
          <w:szCs w:val="21"/>
          <w:b w:val="1"/>
          <w:bCs w:val="1"/>
          <w:color w:val="auto"/>
        </w:rPr>
        <w:t>Securities Affected by Supplemental Indentures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Securities of any series affected by a supplemental indenture, authenticated and delivered after the execution of such supplemental indenture pursuant to the provisions of this Article 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22"/>
          <w:szCs w:val="22"/>
          <w:color w:val="auto"/>
        </w:rPr>
        <w:t>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9.05</w:t>
      </w:r>
      <w:r>
        <w:rPr>
          <w:sz w:val="20"/>
          <w:szCs w:val="20"/>
          <w:color w:val="auto"/>
        </w:rPr>
        <w:tab/>
      </w:r>
      <w:r>
        <w:rPr>
          <w:rFonts w:ascii="Times New Roman" w:cs="Times New Roman" w:eastAsia="Times New Roman" w:hAnsi="Times New Roman"/>
          <w:sz w:val="21"/>
          <w:szCs w:val="21"/>
          <w:b w:val="1"/>
          <w:bCs w:val="1"/>
          <w:color w:val="auto"/>
        </w:rPr>
        <w:t>Execution of Supplemental Indentures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SUCCESSOR ENTITY</w:t>
      </w:r>
    </w:p>
    <w:p>
      <w:pPr>
        <w:spacing w:after="0" w:line="22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10.01</w:t>
      </w:r>
      <w:r>
        <w:rPr>
          <w:sz w:val="20"/>
          <w:szCs w:val="20"/>
          <w:color w:val="auto"/>
        </w:rPr>
        <w:tab/>
      </w:r>
      <w:r>
        <w:rPr>
          <w:rFonts w:ascii="Times New Roman" w:cs="Times New Roman" w:eastAsia="Times New Roman" w:hAnsi="Times New Roman"/>
          <w:sz w:val="21"/>
          <w:szCs w:val="21"/>
          <w:b w:val="1"/>
          <w:bCs w:val="1"/>
          <w:color w:val="auto"/>
        </w:rPr>
        <w:t>Company May Consolidate, Etc.</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49" w:lineRule="auto"/>
        <w:rPr>
          <w:sz w:val="20"/>
          <w:szCs w:val="20"/>
          <w:color w:val="auto"/>
        </w:rPr>
      </w:pPr>
      <w:r>
        <w:rPr>
          <w:rFonts w:ascii="Times New Roman" w:cs="Times New Roman" w:eastAsia="Times New Roman" w:hAnsi="Times New Roman"/>
          <w:sz w:val="22"/>
          <w:szCs w:val="22"/>
          <w:color w:val="auto"/>
        </w:rPr>
        <w:t>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91"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10.02</w:t>
      </w:r>
      <w:r>
        <w:rPr>
          <w:sz w:val="20"/>
          <w:szCs w:val="20"/>
          <w:color w:val="auto"/>
        </w:rPr>
        <w:tab/>
      </w:r>
      <w:r>
        <w:rPr>
          <w:rFonts w:ascii="Times New Roman" w:cs="Times New Roman" w:eastAsia="Times New Roman" w:hAnsi="Times New Roman"/>
          <w:sz w:val="21"/>
          <w:szCs w:val="21"/>
          <w:b w:val="1"/>
          <w:bCs w:val="1"/>
          <w:color w:val="auto"/>
        </w:rPr>
        <w:t>Successor Entity Substituted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65" w:lineRule="auto"/>
        <w:tabs>
          <w:tab w:leader="none" w:pos="1939"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78" w:lineRule="exact"/>
        <w:rPr>
          <w:rFonts w:ascii="Times New Roman" w:cs="Times New Roman" w:eastAsia="Times New Roman" w:hAnsi="Times New Roman"/>
          <w:sz w:val="21"/>
          <w:szCs w:val="21"/>
          <w:b w:val="1"/>
          <w:bCs w:val="1"/>
          <w:color w:val="auto"/>
        </w:rPr>
      </w:pPr>
    </w:p>
    <w:p>
      <w:pPr>
        <w:ind w:firstLine="1304"/>
        <w:spacing w:after="0" w:line="271" w:lineRule="auto"/>
        <w:tabs>
          <w:tab w:leader="none" w:pos="1938"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941"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SATISFACTION AND DISCHARGE</w:t>
      </w:r>
    </w:p>
    <w:p>
      <w:pPr>
        <w:spacing w:after="0" w:line="22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11.01</w:t>
      </w:r>
      <w:r>
        <w:rPr>
          <w:sz w:val="20"/>
          <w:szCs w:val="20"/>
          <w:color w:val="auto"/>
        </w:rPr>
        <w:tab/>
      </w:r>
      <w:r>
        <w:rPr>
          <w:rFonts w:ascii="Times New Roman" w:cs="Times New Roman" w:eastAsia="Times New Roman" w:hAnsi="Times New Roman"/>
          <w:sz w:val="21"/>
          <w:szCs w:val="21"/>
          <w:b w:val="1"/>
          <w:bCs w:val="1"/>
          <w:color w:val="auto"/>
        </w:rPr>
        <w:t>Satisfaction and Discharge of Indenture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61" w:lineRule="auto"/>
        <w:rPr>
          <w:sz w:val="20"/>
          <w:szCs w:val="20"/>
          <w:color w:val="auto"/>
        </w:rPr>
      </w:pPr>
      <w:r>
        <w:rPr>
          <w:rFonts w:ascii="Times New Roman" w:cs="Times New Roman" w:eastAsia="Times New Roman" w:hAnsi="Times New Roman"/>
          <w:sz w:val="21"/>
          <w:szCs w:val="21"/>
          <w:color w:val="auto"/>
        </w:rPr>
        <w:t>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72"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11.02</w:t>
      </w:r>
      <w:r>
        <w:rPr>
          <w:sz w:val="20"/>
          <w:szCs w:val="20"/>
          <w:color w:val="auto"/>
        </w:rPr>
        <w:tab/>
      </w:r>
      <w:r>
        <w:rPr>
          <w:rFonts w:ascii="Times New Roman" w:cs="Times New Roman" w:eastAsia="Times New Roman" w:hAnsi="Times New Roman"/>
          <w:sz w:val="21"/>
          <w:szCs w:val="21"/>
          <w:b w:val="1"/>
          <w:bCs w:val="1"/>
          <w:color w:val="auto"/>
        </w:rPr>
        <w:t>Discharge of Obligations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Thereafter, Sections 7.06 and 11.05 shall survive.</w:t>
      </w:r>
    </w:p>
    <w:p>
      <w:pPr>
        <w:spacing w:after="0" w:line="216"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11.03</w:t>
      </w:r>
      <w:r>
        <w:rPr>
          <w:sz w:val="20"/>
          <w:szCs w:val="20"/>
          <w:color w:val="auto"/>
        </w:rPr>
        <w:tab/>
      </w:r>
      <w:r>
        <w:rPr>
          <w:rFonts w:ascii="Times New Roman" w:cs="Times New Roman" w:eastAsia="Times New Roman" w:hAnsi="Times New Roman"/>
          <w:sz w:val="21"/>
          <w:szCs w:val="21"/>
          <w:b w:val="1"/>
          <w:bCs w:val="1"/>
          <w:color w:val="auto"/>
        </w:rPr>
        <w:t>Deposited Moneys to be Held in Trust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11.04</w:t>
      </w:r>
      <w:r>
        <w:rPr>
          <w:sz w:val="20"/>
          <w:szCs w:val="20"/>
          <w:color w:val="auto"/>
        </w:rPr>
        <w:tab/>
      </w:r>
      <w:r>
        <w:rPr>
          <w:rFonts w:ascii="Times New Roman" w:cs="Times New Roman" w:eastAsia="Times New Roman" w:hAnsi="Times New Roman"/>
          <w:sz w:val="21"/>
          <w:szCs w:val="21"/>
          <w:b w:val="1"/>
          <w:bCs w:val="1"/>
          <w:color w:val="auto"/>
        </w:rPr>
        <w:t>Payment of Moneys Held by Paying Agents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connection with the satisfaction and discharge of this Indenture all moneys or Governmental Obligations then held by any paying agent under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166" w:name="page167"/>
    <w:bookmarkEnd w:id="166"/>
    <w:p>
      <w:pPr>
        <w:jc w:val="both"/>
        <w:spacing w:after="0" w:line="271" w:lineRule="auto"/>
        <w:rPr>
          <w:sz w:val="20"/>
          <w:szCs w:val="20"/>
          <w:color w:val="auto"/>
        </w:rPr>
      </w:pPr>
      <w:r>
        <w:rPr>
          <w:rFonts w:ascii="Times New Roman" w:cs="Times New Roman" w:eastAsia="Times New Roman" w:hAnsi="Times New Roman"/>
          <w:sz w:val="22"/>
          <w:szCs w:val="22"/>
          <w:color w:val="auto"/>
        </w:rPr>
        <w:t>shall, upon demand of the Company, be paid to the Trustee and thereupon such paying agent shall be released from all further liability with respect to such moneys or Governmental Obligations.</w:t>
      </w:r>
    </w:p>
    <w:p>
      <w:pPr>
        <w:spacing w:after="0" w:line="154"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11.05</w:t>
      </w:r>
      <w:r>
        <w:rPr>
          <w:sz w:val="20"/>
          <w:szCs w:val="20"/>
          <w:color w:val="auto"/>
        </w:rPr>
        <w:tab/>
      </w:r>
      <w:r>
        <w:rPr>
          <w:rFonts w:ascii="Times New Roman" w:cs="Times New Roman" w:eastAsia="Times New Roman" w:hAnsi="Times New Roman"/>
          <w:sz w:val="21"/>
          <w:szCs w:val="21"/>
          <w:b w:val="1"/>
          <w:bCs w:val="1"/>
          <w:color w:val="auto"/>
        </w:rPr>
        <w:t>Repayment to Company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IMMUNITY OF INCORPORATORS, STOCKHOLDERS, OFFICERS AND DIRECTORS</w:t>
      </w:r>
    </w:p>
    <w:p>
      <w:pPr>
        <w:spacing w:after="0" w:line="233"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12.01</w:t>
      </w:r>
      <w:r>
        <w:rPr>
          <w:sz w:val="20"/>
          <w:szCs w:val="20"/>
          <w:color w:val="auto"/>
        </w:rPr>
        <w:tab/>
      </w:r>
      <w:r>
        <w:rPr>
          <w:rFonts w:ascii="Times New Roman" w:cs="Times New Roman" w:eastAsia="Times New Roman" w:hAnsi="Times New Roman"/>
          <w:sz w:val="21"/>
          <w:szCs w:val="21"/>
          <w:b w:val="1"/>
          <w:bCs w:val="1"/>
          <w:color w:val="auto"/>
        </w:rPr>
        <w:t>No Recourse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167" w:name="page168"/>
    <w:bookmarkEnd w:id="167"/>
    <w:p>
      <w:pPr>
        <w:ind w:left="500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2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13.01</w:t>
      </w:r>
      <w:r>
        <w:rPr>
          <w:sz w:val="20"/>
          <w:szCs w:val="20"/>
          <w:color w:val="auto"/>
        </w:rPr>
        <w:tab/>
      </w:r>
      <w:r>
        <w:rPr>
          <w:rFonts w:ascii="Times New Roman" w:cs="Times New Roman" w:eastAsia="Times New Roman" w:hAnsi="Times New Roman"/>
          <w:sz w:val="21"/>
          <w:szCs w:val="21"/>
          <w:b w:val="1"/>
          <w:bCs w:val="1"/>
          <w:color w:val="auto"/>
        </w:rPr>
        <w:t>Effect on Successors and Assigns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the covenants, stipulations, promises and agreements in this Indenture made by or on behalf of the Company shall bind its successors and assigns, whether so expressed or not.</w:t>
      </w:r>
    </w:p>
    <w:p>
      <w:pPr>
        <w:spacing w:after="0" w:line="154"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13.02</w:t>
      </w:r>
      <w:r>
        <w:rPr>
          <w:sz w:val="20"/>
          <w:szCs w:val="20"/>
          <w:color w:val="auto"/>
        </w:rPr>
        <w:tab/>
      </w:r>
      <w:r>
        <w:rPr>
          <w:rFonts w:ascii="Times New Roman" w:cs="Times New Roman" w:eastAsia="Times New Roman" w:hAnsi="Times New Roman"/>
          <w:sz w:val="21"/>
          <w:szCs w:val="21"/>
          <w:b w:val="1"/>
          <w:bCs w:val="1"/>
          <w:color w:val="auto"/>
        </w:rPr>
        <w:t>Actions by Successor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3"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13.03</w:t>
      </w:r>
      <w:r>
        <w:rPr>
          <w:sz w:val="20"/>
          <w:szCs w:val="20"/>
          <w:color w:val="auto"/>
        </w:rPr>
        <w:tab/>
      </w:r>
      <w:r>
        <w:rPr>
          <w:rFonts w:ascii="Times New Roman" w:cs="Times New Roman" w:eastAsia="Times New Roman" w:hAnsi="Times New Roman"/>
          <w:sz w:val="21"/>
          <w:szCs w:val="21"/>
          <w:b w:val="1"/>
          <w:bCs w:val="1"/>
          <w:color w:val="auto"/>
        </w:rPr>
        <w:t>Surrender of Company Powers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69"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13.04</w:t>
      </w:r>
      <w:r>
        <w:rPr>
          <w:sz w:val="20"/>
          <w:szCs w:val="20"/>
          <w:color w:val="auto"/>
        </w:rPr>
        <w:tab/>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follows:__________________________________________________________. Any notice, election,</w:t>
      </w:r>
    </w:p>
    <w:p>
      <w:pPr>
        <w:jc w:val="both"/>
        <w:spacing w:after="0" w:line="251" w:lineRule="auto"/>
        <w:rPr>
          <w:sz w:val="20"/>
          <w:szCs w:val="20"/>
          <w:color w:val="auto"/>
        </w:rPr>
      </w:pPr>
      <w:r>
        <w:rPr>
          <w:rFonts w:ascii="Times New Roman" w:cs="Times New Roman" w:eastAsia="Times New Roman" w:hAnsi="Times New Roman"/>
          <w:sz w:val="22"/>
          <w:szCs w:val="22"/>
          <w:color w:val="auto"/>
        </w:rPr>
        <w:t>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75"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13.05</w:t>
      </w:r>
      <w:r>
        <w:rPr>
          <w:sz w:val="20"/>
          <w:szCs w:val="20"/>
          <w:color w:val="auto"/>
        </w:rPr>
        <w:tab/>
      </w:r>
      <w:r>
        <w:rPr>
          <w:rFonts w:ascii="Times New Roman" w:cs="Times New Roman" w:eastAsia="Times New Roman" w:hAnsi="Times New Roman"/>
          <w:sz w:val="21"/>
          <w:szCs w:val="21"/>
          <w:b w:val="1"/>
          <w:bCs w:val="1"/>
          <w:color w:val="auto"/>
        </w:rPr>
        <w:t>Governing Law; Jury Trial Waiver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This Indenture and each Security shall be governed by, and construed in accordance with, the internal laws of the State of New York, except to the extent that the Trust Indenture Act is applicable.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PARTY HERETO, AND EACH HOLDER OF A SECURITY BY ACCEPTANCE THEREOF, HEREBY WAIVES, TO THE FULLEST EXTENT PERMITTED BY APPLICABLE LAW, ANY RIGHT IT MAY HAVE TO A TRIAL BY JURY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18" w:right="339" w:bottom="1440" w:gutter="0" w:footer="0" w:header="0"/>
        </w:sectPr>
      </w:pPr>
    </w:p>
    <w:bookmarkStart w:id="168" w:name="page169"/>
    <w:bookmarkEnd w:id="168"/>
    <w:p>
      <w:pPr>
        <w:spacing w:after="0" w:line="271" w:lineRule="auto"/>
        <w:rPr>
          <w:sz w:val="20"/>
          <w:szCs w:val="20"/>
          <w:color w:val="auto"/>
        </w:rPr>
      </w:pPr>
      <w:r>
        <w:rPr>
          <w:rFonts w:ascii="Times New Roman" w:cs="Times New Roman" w:eastAsia="Times New Roman" w:hAnsi="Times New Roman"/>
          <w:sz w:val="22"/>
          <w:szCs w:val="22"/>
          <w:color w:val="auto"/>
        </w:rPr>
        <w:t>OF ANY LITIGATION DIRECTLY OR INDIRECTLY ARISING OUT OF, UNDER OR IN CONNECTION WITH THIS INDENTURE.</w:t>
      </w:r>
    </w:p>
    <w:p>
      <w:pPr>
        <w:spacing w:after="0" w:line="154"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13.06</w:t>
      </w:r>
      <w:r>
        <w:rPr>
          <w:sz w:val="20"/>
          <w:szCs w:val="20"/>
          <w:color w:val="auto"/>
        </w:rPr>
        <w:tab/>
      </w:r>
      <w:r>
        <w:rPr>
          <w:rFonts w:ascii="Times New Roman" w:cs="Times New Roman" w:eastAsia="Times New Roman" w:hAnsi="Times New Roman"/>
          <w:sz w:val="21"/>
          <w:szCs w:val="21"/>
          <w:b w:val="1"/>
          <w:bCs w:val="1"/>
          <w:color w:val="auto"/>
        </w:rPr>
        <w:t>Treatment of Securities as Debt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It is intended that the Securities will be treated as indebtedness and not as equity for federal income tax purposes. The provisions of this Indenture shall be interpreted to further this intention.</w:t>
      </w:r>
    </w:p>
    <w:p>
      <w:pPr>
        <w:spacing w:after="0" w:line="154"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13.07</w:t>
      </w:r>
      <w:r>
        <w:rPr>
          <w:sz w:val="20"/>
          <w:szCs w:val="20"/>
          <w:color w:val="auto"/>
        </w:rPr>
        <w:tab/>
      </w:r>
      <w:r>
        <w:rPr>
          <w:rFonts w:ascii="Times New Roman" w:cs="Times New Roman" w:eastAsia="Times New Roman" w:hAnsi="Times New Roman"/>
          <w:sz w:val="21"/>
          <w:szCs w:val="21"/>
          <w:b w:val="1"/>
          <w:bCs w:val="1"/>
          <w:color w:val="auto"/>
        </w:rPr>
        <w:t>Certificates and Opinions as to Conditions Precedent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1304"/>
        <w:spacing w:after="0" w:line="250" w:lineRule="auto"/>
        <w:tabs>
          <w:tab w:leader="none" w:pos="1939"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0"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8"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13.08</w:t>
      </w:r>
      <w:r>
        <w:rPr>
          <w:sz w:val="20"/>
          <w:szCs w:val="20"/>
          <w:color w:val="auto"/>
        </w:rPr>
        <w:tab/>
      </w:r>
      <w:r>
        <w:rPr>
          <w:rFonts w:ascii="Times New Roman" w:cs="Times New Roman" w:eastAsia="Times New Roman" w:hAnsi="Times New Roman"/>
          <w:sz w:val="21"/>
          <w:szCs w:val="21"/>
          <w:b w:val="1"/>
          <w:bCs w:val="1"/>
          <w:color w:val="auto"/>
        </w:rPr>
        <w:t>Payments on Business Days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169" w:name="page170"/>
    <w:bookmarkEnd w:id="169"/>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13.09</w:t>
      </w:r>
      <w:r>
        <w:rPr>
          <w:sz w:val="20"/>
          <w:szCs w:val="20"/>
          <w:color w:val="auto"/>
        </w:rPr>
        <w:tab/>
      </w:r>
      <w:r>
        <w:rPr>
          <w:rFonts w:ascii="Times New Roman" w:cs="Times New Roman" w:eastAsia="Times New Roman" w:hAnsi="Times New Roman"/>
          <w:sz w:val="21"/>
          <w:szCs w:val="21"/>
          <w:b w:val="1"/>
          <w:bCs w:val="1"/>
          <w:color w:val="auto"/>
        </w:rPr>
        <w:t>Conflict with Trust Indenture Act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and to the extent that any provision of this Indenture limits, qualifies or conflicts with the duties imposed by Section 318(c) of the Trust Indenture Act, such imposed duties shall control.</w:t>
      </w:r>
    </w:p>
    <w:p>
      <w:pPr>
        <w:spacing w:after="0" w:line="167"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13.10</w:t>
      </w:r>
      <w:r>
        <w:rPr>
          <w:sz w:val="20"/>
          <w:szCs w:val="20"/>
          <w:color w:val="auto"/>
        </w:rPr>
        <w:tab/>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5"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13.11</w:t>
      </w:r>
      <w:r>
        <w:rPr>
          <w:sz w:val="20"/>
          <w:szCs w:val="20"/>
          <w:color w:val="auto"/>
        </w:rPr>
        <w:tab/>
      </w:r>
      <w:r>
        <w:rPr>
          <w:rFonts w:ascii="Times New Roman" w:cs="Times New Roman" w:eastAsia="Times New Roman" w:hAnsi="Times New Roman"/>
          <w:sz w:val="21"/>
          <w:szCs w:val="21"/>
          <w:b w:val="1"/>
          <w:bCs w:val="1"/>
          <w:color w:val="auto"/>
        </w:rPr>
        <w:t>Separability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9"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13.12</w:t>
      </w:r>
      <w:r>
        <w:rPr>
          <w:sz w:val="20"/>
          <w:szCs w:val="20"/>
          <w:color w:val="auto"/>
        </w:rPr>
        <w:tab/>
      </w:r>
      <w:r>
        <w:rPr>
          <w:rFonts w:ascii="Times New Roman" w:cs="Times New Roman" w:eastAsia="Times New Roman" w:hAnsi="Times New Roman"/>
          <w:sz w:val="21"/>
          <w:szCs w:val="21"/>
          <w:b w:val="1"/>
          <w:bCs w:val="1"/>
          <w:color w:val="auto"/>
        </w:rPr>
        <w:t>Compliance Certificates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13.13</w:t>
      </w:r>
      <w:r>
        <w:rPr>
          <w:sz w:val="20"/>
          <w:szCs w:val="20"/>
          <w:color w:val="auto"/>
        </w:rPr>
        <w:tab/>
      </w:r>
      <w:r>
        <w:rPr>
          <w:rFonts w:ascii="Times New Roman" w:cs="Times New Roman" w:eastAsia="Times New Roman" w:hAnsi="Times New Roman"/>
          <w:sz w:val="21"/>
          <w:szCs w:val="21"/>
          <w:b w:val="1"/>
          <w:bCs w:val="1"/>
          <w:color w:val="auto"/>
        </w:rPr>
        <w:t>U.S.A Patriot Act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18" w:right="339" w:bottom="1440" w:gutter="0" w:footer="0" w:header="0"/>
        </w:sectPr>
      </w:pPr>
    </w:p>
    <w:bookmarkStart w:id="170" w:name="page171"/>
    <w:bookmarkEnd w:id="170"/>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13.14</w:t>
      </w:r>
      <w:r>
        <w:rPr>
          <w:sz w:val="20"/>
          <w:szCs w:val="20"/>
          <w:color w:val="auto"/>
        </w:rPr>
        <w:tab/>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9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Section 13.15</w:t>
      </w:r>
      <w:r>
        <w:rPr>
          <w:sz w:val="20"/>
          <w:szCs w:val="20"/>
          <w:color w:val="auto"/>
        </w:rPr>
        <w:tab/>
      </w:r>
      <w:r>
        <w:rPr>
          <w:rFonts w:ascii="Times New Roman" w:cs="Times New Roman" w:eastAsia="Times New Roman" w:hAnsi="Times New Roman"/>
          <w:sz w:val="21"/>
          <w:szCs w:val="21"/>
          <w:b w:val="1"/>
          <w:bCs w:val="1"/>
          <w:color w:val="auto"/>
        </w:rPr>
        <w:t>Table of Contents; Headings.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18" w:right="339" w:bottom="1440" w:gutter="0" w:footer="0" w:header="0"/>
        </w:sectPr>
      </w:pPr>
    </w:p>
    <w:bookmarkStart w:id="171" w:name="page172"/>
    <w:bookmarkEnd w:id="171"/>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Indenture to be duly executed all as of the day and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above written.</w:t>
      </w:r>
    </w:p>
    <w:p>
      <w:pPr>
        <w:spacing w:after="0" w:line="1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QUINCE THERAPEUTICS, INC.</w:t>
      </w:r>
    </w:p>
    <w:p>
      <w:pPr>
        <w:spacing w:after="0" w:line="2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19685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19685</wp:posOffset>
            </wp:positionV>
            <wp:extent cx="33858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as Trustee</w:t>
      </w:r>
    </w:p>
    <w:p>
      <w:pPr>
        <w:spacing w:after="0" w:line="2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19685</wp:posOffset>
            </wp:positionV>
            <wp:extent cx="32746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6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19685</wp:posOffset>
            </wp:positionV>
            <wp:extent cx="3385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18"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86"/>
        </w:trPr>
        <w:tc>
          <w:tcPr>
            <w:tcW w:w="8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CROSS-REFERENCE TABLE (1)</w:t>
            </w:r>
          </w:p>
        </w:tc>
        <w:tc>
          <w:tcPr>
            <w:tcW w:w="3180" w:type="dxa"/>
            <w:vAlign w:val="bottom"/>
          </w:tcPr>
          <w:p>
            <w:pPr>
              <w:spacing w:after="0"/>
              <w:rPr>
                <w:sz w:val="24"/>
                <w:szCs w:val="24"/>
                <w:color w:val="auto"/>
              </w:rPr>
            </w:pPr>
          </w:p>
        </w:tc>
      </w:tr>
      <w:tr>
        <w:trPr>
          <w:trHeight w:val="931"/>
        </w:trPr>
        <w:tc>
          <w:tcPr>
            <w:tcW w:w="806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rPr>
              <w:t>Section of Trust Indenture Act of 1939, as Amended</w:t>
            </w:r>
          </w:p>
        </w:tc>
        <w:tc>
          <w:tcPr>
            <w:tcW w:w="318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Section of Indenture</w:t>
            </w:r>
          </w:p>
        </w:tc>
      </w:tr>
      <w:tr>
        <w:trPr>
          <w:trHeight w:val="251"/>
        </w:trPr>
        <w:tc>
          <w:tcPr>
            <w:tcW w:w="79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310(a)</w:t>
            </w:r>
          </w:p>
        </w:tc>
        <w:tc>
          <w:tcPr>
            <w:tcW w:w="120" w:type="dxa"/>
            <w:vAlign w:val="bottom"/>
          </w:tcPr>
          <w:p>
            <w:pPr>
              <w:spacing w:after="0"/>
              <w:rPr>
                <w:sz w:val="21"/>
                <w:szCs w:val="21"/>
                <w:color w:val="auto"/>
              </w:rPr>
            </w:pPr>
          </w:p>
        </w:tc>
        <w:tc>
          <w:tcPr>
            <w:tcW w:w="31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7.09</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310(b)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7.08</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7.10</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310(c)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Inapplicable</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311(a)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7.13</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311(b)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7.13</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311(c)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Inapplicable</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312(a)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5.01</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5.02(a)</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312(b)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5.02(c)</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312(c)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5.02(c)</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313(a)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5.04(a)</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313(b)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5.04(b)</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313(c)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5.04(a)</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5.04(b)</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313(d)</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5.04(c)</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5.03</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13.12</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Inapplicable</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13.07(a)</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314(d)</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Inapplicable</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314(e)</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13.07(b)</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314(f)</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Inapplicable</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315(a)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7.01(a)</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7.01(b)</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315(b)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7.14</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315(c)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7.01</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315(d)</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7.01(b)</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315(e)</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6.07</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316(a)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6.06</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8.04</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316(b)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6.04</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316(c)</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8.01</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317(a)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6.02</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317(b)</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4.03</w:t>
            </w:r>
          </w:p>
        </w:tc>
      </w:tr>
      <w:tr>
        <w:trPr>
          <w:trHeight w:val="282"/>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318(a)</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13.09</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20" w:lineRule="exact"/>
        <w:rPr>
          <w:sz w:val="20"/>
          <w:szCs w:val="20"/>
          <w:color w:val="auto"/>
        </w:rPr>
      </w:pPr>
    </w:p>
    <w:p>
      <w:pPr>
        <w:ind w:left="340" w:hanging="332"/>
        <w:spacing w:after="0" w:line="271" w:lineRule="auto"/>
        <w:tabs>
          <w:tab w:leader="none" w:pos="74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Cross-Reference Table does not constitute part of the Indenture and shall not have any bearing on the interpretation of any of its terms or provisions.</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18" w:right="339" w:bottom="1440" w:gutter="0" w:footer="0" w:header="0"/>
          <w:type w:val="continuous"/>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34440" cy="403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12344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Gordon Ho</w:t>
      </w:r>
    </w:p>
    <w:p>
      <w:pPr>
        <w:spacing w:after="0" w:line="27" w:lineRule="exact"/>
        <w:rPr>
          <w:sz w:val="20"/>
          <w:szCs w:val="20"/>
          <w:color w:val="auto"/>
        </w:rPr>
      </w:pPr>
    </w:p>
    <w:p>
      <w:pPr>
        <w:ind w:right="9680" w:firstLine="8"/>
        <w:spacing w:after="0" w:line="266" w:lineRule="auto"/>
        <w:tabs>
          <w:tab w:leader="none" w:pos="1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+1 650 843 5190 gho@cooley.com</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Quince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601 Gateway Boulevard, Suite 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acted as counsel to Quince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a Registration Statement on Form S-3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Registration Statement includes two prospectuses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base prospectus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(ii) a sales agreement prospectus (the “</w:t>
      </w:r>
      <w:r>
        <w:rPr>
          <w:rFonts w:ascii="Arial" w:cs="Arial" w:eastAsia="Arial" w:hAnsi="Arial"/>
          <w:sz w:val="18"/>
          <w:szCs w:val="18"/>
          <w:b w:val="1"/>
          <w:bCs w:val="1"/>
          <w:i w:val="1"/>
          <w:iCs w:val="1"/>
          <w:color w:val="auto"/>
        </w:rPr>
        <w:t>Sales Agreement Prospectus</w:t>
      </w:r>
      <w:r>
        <w:rPr>
          <w:rFonts w:ascii="Arial" w:cs="Arial" w:eastAsia="Arial" w:hAnsi="Arial"/>
          <w:sz w:val="18"/>
          <w:szCs w:val="18"/>
          <w:color w:val="auto"/>
        </w:rPr>
        <w:t>”) covering up to $75,000,000 of shares of the Company’s common stock, $0.001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that may be sold under the Controlled Equity Offering</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Sales Agreement, dated December 18, 2024, by and among the Company, Cantor Fitzgerald &amp; Co., and H.C. Wainwright &amp; Co., LLC (such agreement, the “</w:t>
      </w:r>
      <w:r>
        <w:rPr>
          <w:rFonts w:ascii="Arial" w:cs="Arial" w:eastAsia="Arial" w:hAnsi="Arial"/>
          <w:sz w:val="18"/>
          <w:szCs w:val="18"/>
          <w:b w:val="1"/>
          <w:bCs w:val="1"/>
          <w:i w:val="1"/>
          <w:iCs w:val="1"/>
          <w:color w:val="auto"/>
        </w:rPr>
        <w:t>Sales Agreement</w:t>
      </w:r>
      <w:r>
        <w:rPr>
          <w:rFonts w:ascii="Arial" w:cs="Arial" w:eastAsia="Arial" w:hAnsi="Arial"/>
          <w:sz w:val="18"/>
          <w:szCs w:val="18"/>
          <w:color w:val="auto"/>
        </w:rPr>
        <w:t>”, and such shares, the “</w:t>
      </w:r>
      <w:r>
        <w:rPr>
          <w:rFonts w:ascii="Arial" w:cs="Arial" w:eastAsia="Arial" w:hAnsi="Arial"/>
          <w:sz w:val="18"/>
          <w:szCs w:val="18"/>
          <w:b w:val="1"/>
          <w:bCs w:val="1"/>
          <w:i w:val="1"/>
          <w:iCs w:val="1"/>
          <w:color w:val="auto"/>
        </w:rPr>
        <w:t>Placement Shares</w:t>
      </w:r>
      <w:r>
        <w:rPr>
          <w:rFonts w:ascii="Arial" w:cs="Arial" w:eastAsia="Arial" w:hAnsi="Arial"/>
          <w:sz w:val="18"/>
          <w:szCs w:val="18"/>
          <w:color w:val="auto"/>
        </w:rPr>
        <w:t>”). The Base Prospectus provides that it will be supplemented in the future by one or more prospectus supplements (each, a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The Registration Statement, including the Base Prospectus (as supplemented from time to time by one or more Prospectus Supplements) and the Sales Agreement Prospectus will provide for the registration by the Company of the sale of:</w:t>
      </w:r>
    </w:p>
    <w:p>
      <w:pPr>
        <w:spacing w:after="0" w:line="195"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(the “</w:t>
      </w:r>
      <w:r>
        <w:rPr>
          <w:rFonts w:ascii="Arial" w:cs="Arial" w:eastAsia="Arial" w:hAnsi="Arial"/>
          <w:sz w:val="18"/>
          <w:szCs w:val="18"/>
          <w:b w:val="1"/>
          <w:bCs w:val="1"/>
          <w:i w:val="1"/>
          <w:iCs w:val="1"/>
          <w:color w:val="auto"/>
        </w:rPr>
        <w:t>Base Prospectus Shares</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preferred stock, $0.001 par value per share,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4.4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64"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5"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(each,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and</w:t>
      </w:r>
    </w:p>
    <w:p>
      <w:pPr>
        <w:spacing w:after="0" w:line="1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the Placement Shares.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 Prospectus Shares, the Preferred Stock, the Debt Securities, the Warrants and the Placement Shares, plus any additional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Securities are being registered for offer and sale from time to time pursuant to Rule 415 under the Securities Act.</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this opinion, we have examined and relied upon the Company’s certificate of incorporation and bylaws, each as currently in effect, and such other records, documents,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(650) 843-5000 f: +1 (650) 849-7400 cooley.com</w:t>
      </w:r>
    </w:p>
    <w:p>
      <w:pPr>
        <w:sectPr>
          <w:pgSz w:w="11900" w:h="16838" w:orient="portrait"/>
          <w:cols w:equalWidth="0" w:num="1">
            <w:col w:w="11240"/>
          </w:cols>
          <w:pgMar w:left="320" w:top="117"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02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02590"/>
                    </a:xfrm>
                    <a:prstGeom prst="rect">
                      <a:avLst/>
                    </a:prstGeom>
                    <a:noFill/>
                  </pic:spPr>
                </pic:pic>
              </a:graphicData>
            </a:graphic>
          </wp:anchor>
        </w:drawing>
        <w:t>Page Two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(a)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the Placement Shares, we have assumed that (i) each sale of the Placement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(ii) no more than 37,500,000 Placement Shares will be sold for a consideration not less than the par value of the Common Stock. With respect to the Placement Shares, we express no opinion to the extent that future issuances of securities of the Company, anti-dilution adjustments to outstanding securities of the Company or other matters cause the number of shares of Common Stock issuable under the Sales Agreement to exceed the number of shares available for issuance by the Company.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opinion herein is expressed solely with respect to the DGCL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(650) 843-5000 f: +1 (650) 849-7400 cooley.com</w:t>
      </w:r>
    </w:p>
    <w:p>
      <w:pPr>
        <w:sectPr>
          <w:pgSz w:w="11900" w:h="16838" w:orient="portrait"/>
          <w:cols w:equalWidth="0" w:num="1">
            <w:col w:w="11240"/>
          </w:cols>
          <w:pgMar w:left="320" w:top="1160"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02590"/>
                    </a:xfrm>
                    <a:prstGeom prst="rect">
                      <a:avLst/>
                    </a:prstGeom>
                    <a:noFill/>
                  </pic:spPr>
                </pic:pic>
              </a:graphicData>
            </a:graphic>
          </wp:anchor>
        </w:drawing>
        <w:t>Page Three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225" w:lineRule="exact"/>
        <w:rPr>
          <w:sz w:val="20"/>
          <w:szCs w:val="20"/>
          <w:color w:val="auto"/>
        </w:rPr>
      </w:pPr>
    </w:p>
    <w:p>
      <w:pPr>
        <w:jc w:val="both"/>
        <w:ind w:firstLine="656"/>
        <w:spacing w:after="0" w:line="253" w:lineRule="auto"/>
        <w:tabs>
          <w:tab w:leader="none" w:pos="12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and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89" w:lineRule="exact"/>
        <w:rPr>
          <w:rFonts w:ascii="Arial" w:cs="Arial" w:eastAsia="Arial" w:hAnsi="Arial"/>
          <w:sz w:val="18"/>
          <w:szCs w:val="18"/>
          <w:color w:val="auto"/>
        </w:rPr>
      </w:pPr>
    </w:p>
    <w:p>
      <w:pPr>
        <w:jc w:val="both"/>
        <w:ind w:firstLine="656"/>
        <w:spacing w:after="0" w:line="254" w:lineRule="auto"/>
        <w:tabs>
          <w:tab w:leader="none" w:pos="12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82" w:lineRule="exact"/>
        <w:rPr>
          <w:rFonts w:ascii="Arial" w:cs="Arial" w:eastAsia="Arial" w:hAnsi="Arial"/>
          <w:sz w:val="18"/>
          <w:szCs w:val="18"/>
          <w:color w:val="auto"/>
        </w:rPr>
      </w:pPr>
    </w:p>
    <w:p>
      <w:pPr>
        <w:jc w:val="both"/>
        <w:ind w:firstLine="656"/>
        <w:spacing w:after="0" w:line="255" w:lineRule="auto"/>
        <w:tabs>
          <w:tab w:leader="none" w:pos="1284"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Cooley LLP 3175 Hanover Street, Palo Alto, CA 94304-1130</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+1 (650) 843-5000 f: +1 (650) 849-7400 cooley.com</w:t>
      </w:r>
    </w:p>
    <w:p>
      <w:pPr>
        <w:sectPr>
          <w:pgSz w:w="11900" w:h="16838" w:orient="portrait"/>
          <w:cols w:equalWidth="0" w:num="1">
            <w:col w:w="11240"/>
          </w:cols>
          <w:pgMar w:left="320" w:top="1160"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02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02590"/>
                    </a:xfrm>
                    <a:prstGeom prst="rect">
                      <a:avLst/>
                    </a:prstGeom>
                    <a:noFill/>
                  </pic:spPr>
                </pic:pic>
              </a:graphicData>
            </a:graphic>
          </wp:anchor>
        </w:drawing>
        <w:t>Page Four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82" w:lineRule="exact"/>
        <w:rPr>
          <w:sz w:val="20"/>
          <w:szCs w:val="20"/>
          <w:color w:val="auto"/>
        </w:rPr>
      </w:pPr>
    </w:p>
    <w:p>
      <w:pPr>
        <w:jc w:val="both"/>
        <w:ind w:firstLine="656"/>
        <w:spacing w:after="0" w:line="252" w:lineRule="auto"/>
        <w:tabs>
          <w:tab w:leader="none" w:pos="12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94" w:lineRule="exact"/>
        <w:rPr>
          <w:rFonts w:ascii="Arial" w:cs="Arial" w:eastAsia="Arial" w:hAnsi="Arial"/>
          <w:sz w:val="18"/>
          <w:szCs w:val="18"/>
          <w:color w:val="auto"/>
        </w:rPr>
      </w:pPr>
    </w:p>
    <w:p>
      <w:pPr>
        <w:ind w:firstLine="656"/>
        <w:spacing w:after="0" w:line="287" w:lineRule="auto"/>
        <w:tabs>
          <w:tab w:leader="none" w:pos="12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Placement Shares, when sold and issued against payment therefor in accordance with the Sales Agreement, the Registration Statement and the Sales Agreement Prospectus, will be validly issued, fully paid and nonassessable.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(650) 843-5000 f: +1 (650) 849-7400 cooley.com</w:t>
      </w:r>
    </w:p>
    <w:p>
      <w:pPr>
        <w:sectPr>
          <w:pgSz w:w="11900" w:h="16838" w:orient="portrait"/>
          <w:cols w:equalWidth="0" w:num="1">
            <w:col w:w="11240"/>
          </w:cols>
          <w:pgMar w:left="320" w:top="1160"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02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02590"/>
                    </a:xfrm>
                    <a:prstGeom prst="rect">
                      <a:avLst/>
                    </a:prstGeom>
                    <a:noFill/>
                  </pic:spPr>
                </pic:pic>
              </a:graphicData>
            </a:graphic>
          </wp:anchor>
        </w:drawing>
        <w:t>Page Five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color w:val="auto"/>
        </w:rPr>
        <w:t>By:</w:t>
        <w:tab/>
        <w:t>/s/ Gordon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17780</wp:posOffset>
            </wp:positionV>
            <wp:extent cx="3042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Gordon 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(650) 843-5000 f: +1 (650) 849-7400 cooley.com</w:t>
      </w:r>
    </w:p>
    <w:p>
      <w:pPr>
        <w:sectPr>
          <w:pgSz w:w="11900" w:h="16838" w:orient="portrait"/>
          <w:cols w:equalWidth="0" w:num="1">
            <w:col w:w="11240"/>
          </w:cols>
          <w:pgMar w:left="320" w:top="116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hereby consent to the incorporation by reference in the Prospectus constituting a part of this Registration Statement of our report dated April 1, 2024, relating to the consolidated financial statements of Quince Therapeutics, Inc. (the Company) appearing in the Company’s Annual Report on Form 10-K for the year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also consent to the reference to us under the caption “Experts” in the Prospectus.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 P.C.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Jose, CA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18,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11"/>
          <w:szCs w:val="11"/>
          <w:color w:val="685040"/>
        </w:rPr>
        <w:t>BDO USA, P.C., a Virginia professional corporation, is the U.S. member of BDO International Limited, a UK company limited by guarantee, and forms part of the international BDO network of independent member firms.</w:t>
      </w:r>
    </w:p>
    <w:p>
      <w:pPr>
        <w:spacing w:after="0" w:line="61" w:lineRule="exact"/>
        <w:rPr>
          <w:sz w:val="20"/>
          <w:szCs w:val="20"/>
          <w:color w:val="auto"/>
        </w:rPr>
      </w:pPr>
    </w:p>
    <w:p>
      <w:pPr>
        <w:spacing w:after="0"/>
        <w:rPr>
          <w:sz w:val="20"/>
          <w:szCs w:val="20"/>
          <w:color w:val="auto"/>
        </w:rPr>
      </w:pPr>
      <w:r>
        <w:rPr>
          <w:rFonts w:ascii="Trebuchet MS" w:cs="Trebuchet MS" w:eastAsia="Trebuchet MS" w:hAnsi="Trebuchet MS"/>
          <w:sz w:val="11"/>
          <w:szCs w:val="11"/>
          <w:color w:val="685040"/>
        </w:rPr>
        <w:t>BDO is the brand name for the BDO network and for each of the BDO Member Firms.</w:t>
      </w:r>
    </w:p>
    <w:p>
      <w:pPr>
        <w:spacing w:after="0" w:line="17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R-220 (12/23)</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1)"/>
      <w:numFmt w:val="decimal"/>
      <w:start w:val="415"/>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1)"/>
      <w:numFmt w:val="decimal"/>
      <w:start w:val="415"/>
    </w:lvl>
  </w:abstractNum>
  <w:abstractNum w:abstractNumId="35">
    <w:nsid w:val="CC1016F"/>
    <w:multiLevelType w:val="hybridMultilevel"/>
    <w:lvl w:ilvl="0">
      <w:lvlJc w:val="left"/>
      <w:lvlText w:val="(%1)"/>
      <w:numFmt w:val="decimal"/>
      <w:start w:val="1"/>
    </w:lvl>
  </w:abstractNum>
  <w:abstractNum w:abstractNumId="36">
    <w:nsid w:val="43F18422"/>
    <w:multiLevelType w:val="hybridMultilevel"/>
    <w:lvl w:ilvl="0">
      <w:lvlJc w:val="left"/>
      <w:lvlText w:val="%1"/>
      <w:numFmt w:val="decimal"/>
      <w:start w:val="107"/>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1)"/>
      <w:numFmt w:val="lowerLetter"/>
      <w:start w:val="1"/>
    </w:lvl>
    <w:lvl w:ilvl="1">
      <w:lvlJc w:val="left"/>
      <w:lvlText w:val="(%2)"/>
      <w:numFmt w:val="lowerRoman"/>
      <w:start w:val="1"/>
    </w:lvl>
  </w:abstractNum>
  <w:abstractNum w:abstractNumId="40">
    <w:nsid w:val="49DA307D"/>
    <w:multiLevelType w:val="hybridMultilevel"/>
    <w:lvl w:ilvl="0">
      <w:lvlJc w:val="left"/>
      <w:lvlText w:val="(%1)"/>
      <w:numFmt w:val="lowerLetter"/>
      <w:start w:val="2"/>
    </w:lvl>
    <w:lvl w:ilvl="1">
      <w:lvlJc w:val="left"/>
      <w:lvlText w:val="(%2)"/>
      <w:numFmt w:val="lowerRoman"/>
      <w:start w:val="1"/>
    </w:lvl>
  </w:abstractNum>
  <w:abstractNum w:abstractNumId="41">
    <w:nsid w:val="7055A5F5"/>
    <w:multiLevelType w:val="hybridMultilevel"/>
    <w:lvl w:ilvl="0">
      <w:lvlJc w:val="left"/>
      <w:lvlText w:val="(%1)"/>
      <w:numFmt w:val="lowerLetter"/>
      <w:start w:val="5"/>
    </w:lvl>
    <w:lvl w:ilvl="1">
      <w:lvlJc w:val="left"/>
      <w:lvlText w:val="(%2)"/>
      <w:numFmt w:val="lowerRoman"/>
      <w:start w:val="1"/>
    </w:lvl>
  </w:abstractNum>
  <w:abstractNum w:abstractNumId="42">
    <w:nsid w:val="5FB8370B"/>
    <w:multiLevelType w:val="hybridMultilevel"/>
    <w:lvl w:ilvl="0">
      <w:lvlJc w:val="left"/>
      <w:lvlText w:val="(%1)"/>
      <w:numFmt w:val="decimal"/>
      <w:start w:val="1"/>
    </w:lvl>
  </w:abstractNum>
  <w:abstractNum w:abstractNumId="43">
    <w:nsid w:val="50801EE1"/>
    <w:multiLevelType w:val="hybridMultilevel"/>
    <w:lvl w:ilvl="0">
      <w:lvlJc w:val="left"/>
      <w:lvlText w:val="(%1)"/>
      <w:numFmt w:val="decimal"/>
      <w:start w:val="3"/>
    </w:lvl>
  </w:abstractNum>
  <w:abstractNum w:abstractNumId="44">
    <w:nsid w:val="488AC1A"/>
    <w:multiLevelType w:val="hybridMultilevel"/>
    <w:lvl w:ilvl="0">
      <w:lvlJc w:val="left"/>
      <w:lvlText w:val="%1."/>
      <w:numFmt w:val="decimal"/>
      <w:start w:val="1"/>
    </w:lvl>
  </w:abstractNum>
  <w:abstractNum w:abstractNumId="45">
    <w:nsid w:val="5FB8011C"/>
    <w:multiLevelType w:val="hybridMultilevel"/>
    <w:lvl w:ilvl="0">
      <w:lvlJc w:val="left"/>
      <w:lvlText w:val="%1."/>
      <w:numFmt w:val="decimal"/>
      <w:start w:val="2"/>
    </w:lvl>
  </w:abstractNum>
  <w:abstractNum w:abstractNumId="46">
    <w:nsid w:val="6AA78F7F"/>
    <w:multiLevelType w:val="hybridMultilevel"/>
    <w:lvl w:ilvl="0">
      <w:lvlJc w:val="left"/>
      <w:lvlText w:val="%1."/>
      <w:numFmt w:val="decimal"/>
      <w:start w:val="4"/>
    </w:lvl>
    <w:lvl w:ilvl="1">
      <w:lvlJc w:val="left"/>
      <w:lvlText w:val="(%2)"/>
      <w:numFmt w:val="lowerLetter"/>
      <w:start w:val="1"/>
    </w:lvl>
  </w:abstractNum>
  <w:abstractNum w:abstractNumId="47">
    <w:nsid w:val="7672BD23"/>
    <w:multiLevelType w:val="hybridMultilevel"/>
    <w:lvl w:ilvl="0">
      <w:lvlJc w:val="left"/>
      <w:lvlText w:val="(%1)"/>
      <w:numFmt w:val="lowerLetter"/>
      <w:start w:val="3"/>
    </w:lvl>
  </w:abstractNum>
  <w:abstractNum w:abstractNumId="48">
    <w:nsid w:val="6FC75AF8"/>
    <w:multiLevelType w:val="hybridMultilevel"/>
    <w:lvl w:ilvl="0">
      <w:lvlJc w:val="left"/>
      <w:lvlText w:val="%1"/>
      <w:numFmt w:val="decimal"/>
      <w:start w:val="1"/>
    </w:lvl>
    <w:lvl w:ilvl="1">
      <w:lvlJc w:val="left"/>
      <w:lvlText w:val="(%2)"/>
      <w:numFmt w:val="lowerLetter"/>
      <w:start w:val="6"/>
    </w:lvl>
  </w:abstractNum>
  <w:abstractNum w:abstractNumId="49">
    <w:nsid w:val="6A5F7029"/>
    <w:multiLevelType w:val="hybridMultilevel"/>
    <w:lvl w:ilvl="0">
      <w:lvlJc w:val="left"/>
      <w:lvlText w:val="%1."/>
      <w:numFmt w:val="decimal"/>
      <w:start w:val="6"/>
    </w:lvl>
    <w:lvl w:ilvl="1">
      <w:lvlJc w:val="left"/>
      <w:lvlText w:val="(%2)"/>
      <w:numFmt w:val="lowerLetter"/>
      <w:start w:val="1"/>
    </w:lvl>
  </w:abstractNum>
  <w:abstractNum w:abstractNumId="50">
    <w:nsid w:val="7D5E18F8"/>
    <w:multiLevelType w:val="hybridMultilevel"/>
    <w:lvl w:ilvl="0">
      <w:lvlJc w:val="left"/>
      <w:lvlText w:val="(%1)"/>
      <w:numFmt w:val="lowerLetter"/>
      <w:start w:val="2"/>
    </w:lvl>
  </w:abstractNum>
  <w:abstractNum w:abstractNumId="51">
    <w:nsid w:val="5F3534A4"/>
    <w:multiLevelType w:val="hybridMultilevel"/>
    <w:lvl w:ilvl="0">
      <w:lvlJc w:val="left"/>
      <w:lvlText w:val="(%1)"/>
      <w:numFmt w:val="lowerLetter"/>
      <w:start w:val="5"/>
    </w:lvl>
  </w:abstractNum>
  <w:abstractNum w:abstractNumId="52">
    <w:nsid w:val="73A1821B"/>
    <w:multiLevelType w:val="hybridMultilevel"/>
    <w:lvl w:ilvl="0">
      <w:lvlJc w:val="left"/>
      <w:lvlText w:val="(%1)"/>
      <w:numFmt w:val="lowerLetter"/>
      <w:start w:val="8"/>
    </w:lvl>
  </w:abstractNum>
  <w:abstractNum w:abstractNumId="53">
    <w:nsid w:val="7DE67713"/>
    <w:multiLevelType w:val="hybridMultilevel"/>
    <w:lvl w:ilvl="0">
      <w:lvlJc w:val="left"/>
      <w:lvlText w:val="(%1)"/>
      <w:numFmt w:val="lowerLetter"/>
      <w:start w:val="11"/>
    </w:lvl>
  </w:abstractNum>
  <w:abstractNum w:abstractNumId="54">
    <w:nsid w:val="555C55B5"/>
    <w:multiLevelType w:val="hybridMultilevel"/>
    <w:lvl w:ilvl="0">
      <w:lvlJc w:val="left"/>
      <w:lvlText w:val="(%1)"/>
      <w:numFmt w:val="lowerLetter"/>
      <w:start w:val="15"/>
    </w:lvl>
  </w:abstractNum>
  <w:abstractNum w:abstractNumId="55">
    <w:nsid w:val="3FA62ACA"/>
    <w:multiLevelType w:val="hybridMultilevel"/>
    <w:lvl w:ilvl="0">
      <w:lvlJc w:val="left"/>
      <w:lvlText w:val="(%1)"/>
      <w:numFmt w:val="lowerLetter"/>
      <w:start w:val="19"/>
    </w:lvl>
  </w:abstractNum>
  <w:abstractNum w:abstractNumId="56">
    <w:nsid w:val="14FCE74E"/>
    <w:multiLevelType w:val="hybridMultilevel"/>
    <w:lvl w:ilvl="0">
      <w:lvlJc w:val="left"/>
      <w:lvlText w:val="(%1)"/>
      <w:numFmt w:val="lowerLetter"/>
      <w:start w:val="21"/>
    </w:lvl>
  </w:abstractNum>
  <w:abstractNum w:abstractNumId="57">
    <w:nsid w:val="6A3DD3E8"/>
    <w:multiLevelType w:val="hybridMultilevel"/>
    <w:lvl w:ilvl="0">
      <w:lvlJc w:val="left"/>
      <w:lvlText w:val="(%1)"/>
      <w:numFmt w:val="lowerLetter"/>
      <w:start w:val="23"/>
    </w:lvl>
  </w:abstractNum>
  <w:abstractNum w:abstractNumId="58">
    <w:nsid w:val="71C91298"/>
    <w:multiLevelType w:val="hybridMultilevel"/>
    <w:lvl w:ilvl="0">
      <w:lvlJc w:val="left"/>
      <w:lvlText w:val="(%1)"/>
      <w:numFmt w:val="lowerLetter"/>
      <w:start w:val="27"/>
    </w:lvl>
  </w:abstractNum>
  <w:abstractNum w:abstractNumId="59">
    <w:nsid w:val="9DAF632"/>
    <w:multiLevelType w:val="hybridMultilevel"/>
    <w:lvl w:ilvl="0">
      <w:lvlJc w:val="left"/>
      <w:lvlText w:val="%1"/>
      <w:numFmt w:val="lowerLetter"/>
      <w:start w:val="1"/>
    </w:lvl>
    <w:lvl w:ilvl="1">
      <w:lvlJc w:val="left"/>
      <w:lvlText w:val="(%2)"/>
      <w:numFmt w:val="lowerLetter"/>
      <w:start w:val="29"/>
    </w:lvl>
  </w:abstractNum>
  <w:abstractNum w:abstractNumId="60">
    <w:nsid w:val="53299938"/>
    <w:multiLevelType w:val="hybridMultilevel"/>
    <w:lvl w:ilvl="0">
      <w:lvlJc w:val="left"/>
      <w:lvlText w:val="(%1)"/>
      <w:numFmt w:val="lowerLetter"/>
      <w:start w:val="9"/>
    </w:lvl>
    <w:lvl w:ilvl="1">
      <w:lvlJc w:val="left"/>
      <w:lvlText w:val="%2"/>
      <w:numFmt w:val="lowerLetter"/>
      <w:start w:val="1"/>
    </w:lvl>
  </w:abstractNum>
  <w:abstractNum w:abstractNumId="61">
    <w:nsid w:val="1FBFE8E0"/>
    <w:multiLevelType w:val="hybridMultilevel"/>
    <w:lvl w:ilvl="0">
      <w:lvlJc w:val="left"/>
      <w:lvlText w:val="(%1)"/>
      <w:numFmt w:val="lowerLetter"/>
      <w:start w:val="61"/>
    </w:lvl>
    <w:lvl w:ilvl="1">
      <w:lvlJc w:val="left"/>
      <w:lvlText w:val="%2"/>
      <w:numFmt w:val="lowerLetter"/>
      <w:start w:val="1"/>
    </w:lvl>
  </w:abstractNum>
  <w:abstractNum w:abstractNumId="62">
    <w:nsid w:val="5092CA79"/>
    <w:multiLevelType w:val="hybridMultilevel"/>
    <w:lvl w:ilvl="0">
      <w:lvlJc w:val="left"/>
      <w:lvlText w:val="(%1)"/>
      <w:numFmt w:val="lowerLetter"/>
      <w:start w:val="32"/>
    </w:lvl>
  </w:abstractNum>
  <w:abstractNum w:abstractNumId="63">
    <w:nsid w:val="1D545C4D"/>
    <w:multiLevelType w:val="hybridMultilevel"/>
    <w:lvl w:ilvl="0">
      <w:lvlJc w:val="left"/>
      <w:lvlText w:val="(%1)"/>
      <w:numFmt w:val="lowerLetter"/>
      <w:start w:val="37"/>
    </w:lvl>
  </w:abstractNum>
  <w:abstractNum w:abstractNumId="64">
    <w:nsid w:val="59ADEA3D"/>
    <w:multiLevelType w:val="hybridMultilevel"/>
    <w:lvl w:ilvl="0">
      <w:lvlJc w:val="left"/>
      <w:lvlText w:val="(%1)"/>
      <w:numFmt w:val="lowerLetter"/>
      <w:start w:val="41"/>
    </w:lvl>
  </w:abstractNum>
  <w:abstractNum w:abstractNumId="65">
    <w:nsid w:val="288F1A34"/>
    <w:multiLevelType w:val="hybridMultilevel"/>
    <w:lvl w:ilvl="0">
      <w:lvlJc w:val="left"/>
      <w:lvlText w:val="(%1)"/>
      <w:numFmt w:val="lowerLetter"/>
      <w:start w:val="45"/>
    </w:lvl>
  </w:abstractNum>
  <w:abstractNum w:abstractNumId="66">
    <w:nsid w:val="2A155DBC"/>
    <w:multiLevelType w:val="hybridMultilevel"/>
    <w:lvl w:ilvl="0">
      <w:lvlJc w:val="left"/>
      <w:lvlText w:val="%1"/>
      <w:numFmt w:val="lowerRoman"/>
      <w:start w:val="1"/>
    </w:lvl>
    <w:lvl w:ilvl="1">
      <w:lvlJc w:val="left"/>
      <w:lvlText w:val="(%2)"/>
      <w:numFmt w:val="upperLetter"/>
      <w:start w:val="1"/>
    </w:lvl>
  </w:abstractNum>
  <w:abstractNum w:abstractNumId="67">
    <w:nsid w:val="1D9F6E5F"/>
    <w:multiLevelType w:val="hybridMultilevel"/>
    <w:lvl w:ilvl="0">
      <w:lvlJc w:val="left"/>
      <w:lvlText w:val="(%1)"/>
      <w:numFmt w:val="lowerRoman"/>
      <w:start w:val="2"/>
    </w:lvl>
    <w:lvl w:ilvl="1">
      <w:lvlJc w:val="left"/>
      <w:lvlText w:val="(%2)"/>
      <w:numFmt w:val="upperLetter"/>
      <w:start w:val="1"/>
    </w:lvl>
  </w:abstractNum>
  <w:abstractNum w:abstractNumId="68">
    <w:nsid w:val="97E1B4E"/>
    <w:multiLevelType w:val="hybridMultilevel"/>
    <w:lvl w:ilvl="0">
      <w:lvlJc w:val="left"/>
      <w:lvlText w:val="(%1)"/>
      <w:numFmt w:val="lowerLetter"/>
      <w:start w:val="49"/>
    </w:lvl>
  </w:abstractNum>
  <w:abstractNum w:abstractNumId="69">
    <w:nsid w:val="51088277"/>
    <w:multiLevelType w:val="hybridMultilevel"/>
    <w:lvl w:ilvl="0">
      <w:lvlJc w:val="left"/>
      <w:lvlText w:val="(%1)"/>
      <w:numFmt w:val="lowerLetter"/>
      <w:start w:val="51"/>
    </w:lvl>
  </w:abstractNum>
  <w:abstractNum w:abstractNumId="70">
    <w:nsid w:val="1CA0C5FA"/>
    <w:multiLevelType w:val="hybridMultilevel"/>
    <w:lvl w:ilvl="0">
      <w:lvlJc w:val="left"/>
      <w:lvlText w:val="(%1)"/>
      <w:numFmt w:val="lowerLetter"/>
      <w:start w:val="53"/>
    </w:lvl>
  </w:abstractNum>
  <w:abstractNum w:abstractNumId="71">
    <w:nsid w:val="53584BCB"/>
    <w:multiLevelType w:val="hybridMultilevel"/>
    <w:lvl w:ilvl="0">
      <w:lvlJc w:val="left"/>
      <w:lvlText w:val="%1."/>
      <w:numFmt w:val="decimal"/>
      <w:start w:val="7"/>
    </w:lvl>
    <w:lvl w:ilvl="1">
      <w:lvlJc w:val="left"/>
      <w:lvlText w:val="(%2)"/>
      <w:numFmt w:val="lowerLetter"/>
      <w:start w:val="1"/>
    </w:lvl>
  </w:abstractNum>
  <w:abstractNum w:abstractNumId="72">
    <w:nsid w:val="415E286C"/>
    <w:multiLevelType w:val="hybridMultilevel"/>
    <w:lvl w:ilvl="0">
      <w:lvlJc w:val="left"/>
      <w:lvlText w:val="(%1)"/>
      <w:numFmt w:val="lowerLetter"/>
      <w:start w:val="3"/>
    </w:lvl>
  </w:abstractNum>
  <w:abstractNum w:abstractNumId="73">
    <w:nsid w:val="7C58FD05"/>
    <w:multiLevelType w:val="hybridMultilevel"/>
    <w:lvl w:ilvl="0">
      <w:lvlJc w:val="left"/>
      <w:lvlText w:val="%1"/>
      <w:numFmt w:val="lowerLetter"/>
      <w:start w:val="1"/>
    </w:lvl>
    <w:lvl w:ilvl="1">
      <w:lvlJc w:val="left"/>
      <w:lvlText w:val="(%2)"/>
      <w:numFmt w:val="lowerLetter"/>
      <w:start w:val="6"/>
    </w:lvl>
  </w:abstractNum>
  <w:abstractNum w:abstractNumId="74">
    <w:nsid w:val="23D86AAC"/>
    <w:multiLevelType w:val="hybridMultilevel"/>
    <w:lvl w:ilvl="0">
      <w:lvlJc w:val="left"/>
      <w:lvlText w:val="(%1)"/>
      <w:numFmt w:val="lowerLetter"/>
      <w:start w:val="9"/>
    </w:lvl>
    <w:lvl w:ilvl="1">
      <w:lvlJc w:val="left"/>
      <w:lvlText w:val="(%2)"/>
      <w:numFmt w:val="lowerLetter"/>
      <w:start w:val="9"/>
    </w:lvl>
  </w:abstractNum>
  <w:abstractNum w:abstractNumId="75">
    <w:nsid w:val="45E6D486"/>
    <w:multiLevelType w:val="hybridMultilevel"/>
    <w:lvl w:ilvl="0">
      <w:lvlJc w:val="left"/>
      <w:lvlText w:val="%1"/>
      <w:numFmt w:val="lowerRoman"/>
      <w:start w:val="1"/>
    </w:lvl>
    <w:lvl w:ilvl="1">
      <w:lvlJc w:val="left"/>
      <w:lvlText w:val="(%2)"/>
      <w:numFmt w:val="lowerLetter"/>
      <w:start w:val="10"/>
    </w:lvl>
  </w:abstractNum>
  <w:abstractNum w:abstractNumId="76">
    <w:nsid w:val="5C10FE21"/>
    <w:multiLevelType w:val="hybridMultilevel"/>
    <w:lvl w:ilvl="0">
      <w:lvlJc w:val="left"/>
      <w:lvlText w:val="(%1)"/>
      <w:numFmt w:val="lowerRoman"/>
      <w:start w:val="1"/>
    </w:lvl>
    <w:lvl w:ilvl="1">
      <w:lvlJc w:val="left"/>
      <w:lvlText w:val="%2"/>
      <w:numFmt w:val="lowerLetter"/>
      <w:start w:val="1"/>
    </w:lvl>
  </w:abstractNum>
  <w:abstractNum w:abstractNumId="77">
    <w:nsid w:val="E7FFA2B"/>
    <w:multiLevelType w:val="hybridMultilevel"/>
    <w:lvl w:ilvl="0">
      <w:lvlJc w:val="left"/>
      <w:lvlText w:val="(%1)"/>
      <w:numFmt w:val="lowerLetter"/>
      <w:start w:val="13"/>
    </w:lvl>
  </w:abstractNum>
  <w:abstractNum w:abstractNumId="78">
    <w:nsid w:val="3C5991AA"/>
    <w:multiLevelType w:val="hybridMultilevel"/>
    <w:lvl w:ilvl="0">
      <w:lvlJc w:val="left"/>
      <w:lvlText w:val="(%1)"/>
      <w:numFmt w:val="lowerLetter"/>
      <w:start w:val="15"/>
    </w:lvl>
  </w:abstractNum>
  <w:abstractNum w:abstractNumId="79">
    <w:nsid w:val="4BD859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9"/>
    </w:lvl>
  </w:abstractNum>
  <w:abstractNum w:abstractNumId="80">
    <w:nsid w:val="78DF6A55"/>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20"/>
    </w:lvl>
  </w:abstractNum>
  <w:abstractNum w:abstractNumId="81">
    <w:nsid w:val="39B7AAA2"/>
    <w:multiLevelType w:val="hybridMultilevel"/>
    <w:lvl w:ilvl="0">
      <w:lvlJc w:val="left"/>
      <w:lvlText w:val="%1."/>
      <w:numFmt w:val="decimal"/>
      <w:start w:val="9"/>
    </w:lvl>
    <w:lvl w:ilvl="1">
      <w:lvlJc w:val="left"/>
      <w:lvlText w:val="(%2)"/>
      <w:numFmt w:val="lowerLetter"/>
      <w:start w:val="1"/>
    </w:lvl>
  </w:abstractNum>
  <w:abstractNum w:abstractNumId="82">
    <w:nsid w:val="2B0D8DBE"/>
    <w:multiLevelType w:val="hybridMultilevel"/>
    <w:lvl w:ilvl="0">
      <w:lvlJc w:val="left"/>
      <w:lvlText w:val="(%1)"/>
      <w:numFmt w:val="lowerLetter"/>
      <w:start w:val="3"/>
    </w:lvl>
  </w:abstractNum>
  <w:abstractNum w:abstractNumId="83">
    <w:nsid w:val="6C80EC70"/>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84">
    <w:nsid w:val="379E21B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85">
    <w:nsid w:val="69E373"/>
    <w:multiLevelType w:val="hybridMultilevel"/>
    <w:lvl w:ilvl="0">
      <w:lvlJc w:val="left"/>
      <w:lvlText w:val="(%1)"/>
      <w:numFmt w:val="lowerRoman"/>
      <w:start w:val="2"/>
    </w:lvl>
  </w:abstractNum>
  <w:abstractNum w:abstractNumId="86">
    <w:nsid w:val="2C27173B"/>
    <w:multiLevelType w:val="hybridMultilevel"/>
    <w:lvl w:ilvl="0">
      <w:lvlJc w:val="left"/>
      <w:lvlText w:val="(%1)"/>
      <w:numFmt w:val="lowerLetter"/>
      <w:start w:val="2"/>
    </w:lvl>
  </w:abstractNum>
  <w:abstractNum w:abstractNumId="87">
    <w:nsid w:val="4C9B0904"/>
    <w:multiLevelType w:val="hybridMultilevel"/>
    <w:lvl w:ilvl="0">
      <w:lvlJc w:val="left"/>
      <w:lvlText w:val="(%1)"/>
      <w:numFmt w:val="lowerLetter"/>
      <w:start w:val="4"/>
    </w:lvl>
  </w:abstractNum>
  <w:abstractNum w:abstractNumId="88">
    <w:nsid w:val="6AA7B75C"/>
    <w:multiLevelType w:val="hybridMultilevel"/>
    <w:lvl w:ilvl="0">
      <w:lvlJc w:val="left"/>
      <w:lvlText w:val="%1."/>
      <w:numFmt w:val="decimal"/>
      <w:start w:val="11"/>
    </w:lvl>
    <w:lvl w:ilvl="1">
      <w:lvlJc w:val="left"/>
      <w:lvlText w:val="(%2)"/>
      <w:numFmt w:val="lowerLetter"/>
      <w:start w:val="1"/>
    </w:lvl>
  </w:abstractNum>
  <w:abstractNum w:abstractNumId="89">
    <w:nsid w:val="1DF029D3"/>
    <w:multiLevelType w:val="hybridMultilevel"/>
    <w:lvl w:ilvl="0">
      <w:lvlJc w:val="left"/>
      <w:lvlText w:val="(%1)"/>
      <w:numFmt w:val="lowerLetter"/>
      <w:start w:val="2"/>
    </w:lvl>
  </w:abstractNum>
  <w:abstractNum w:abstractNumId="90">
    <w:nsid w:val="5675FF36"/>
    <w:multiLevelType w:val="hybridMultilevel"/>
    <w:lvl w:ilvl="0">
      <w:lvlJc w:val="left"/>
      <w:lvlText w:val="%1."/>
      <w:numFmt w:val="decimal"/>
      <w:start w:val="13"/>
    </w:lvl>
  </w:abstractNum>
  <w:abstractNum w:abstractNumId="91">
    <w:nsid w:val="3DD15094"/>
    <w:multiLevelType w:val="hybridMultilevel"/>
    <w:lvl w:ilvl="0">
      <w:lvlJc w:val="left"/>
      <w:lvlText w:val="%1."/>
      <w:numFmt w:val="decimal"/>
      <w:start w:val="14"/>
    </w:lvl>
  </w:abstractNum>
  <w:abstractNum w:abstractNumId="92">
    <w:nsid w:val="3DB012B3"/>
    <w:multiLevelType w:val="hybridMultilevel"/>
    <w:lvl w:ilvl="0">
      <w:lvlJc w:val="left"/>
      <w:lvlText w:val="%1."/>
      <w:numFmt w:val="decimal"/>
      <w:start w:val="17"/>
    </w:lvl>
  </w:abstractNum>
  <w:abstractNum w:abstractNumId="93">
    <w:nsid w:val="2708C9AF"/>
    <w:multiLevelType w:val="hybridMultilevel"/>
    <w:lvl w:ilvl="0">
      <w:lvlJc w:val="left"/>
      <w:lvlText w:val="%1."/>
      <w:numFmt w:val="decimal"/>
      <w:start w:val="19"/>
    </w:lvl>
    <w:lvl w:ilvl="1">
      <w:lvlJc w:val="left"/>
      <w:lvlText w:val="(%2)"/>
      <w:numFmt w:val="lowerLetter"/>
      <w:start w:val="1"/>
    </w:lvl>
  </w:abstractNum>
  <w:abstractNum w:abstractNumId="94">
    <w:nsid w:val="5B25ACE2"/>
    <w:multiLevelType w:val="hybridMultilevel"/>
    <w:lvl w:ilvl="0">
      <w:lvlJc w:val="left"/>
      <w:lvlText w:val="%1"/>
      <w:numFmt w:val="decimal"/>
      <w:start w:val="1"/>
    </w:lvl>
    <w:lvl w:ilvl="1">
      <w:lvlJc w:val="left"/>
      <w:lvlText w:val="(%2)"/>
      <w:numFmt w:val="lowerLetter"/>
      <w:start w:val="3"/>
    </w:lvl>
  </w:abstractNum>
  <w:abstractNum w:abstractNumId="95">
    <w:nsid w:val="175DFCF0"/>
    <w:multiLevelType w:val="hybridMultilevel"/>
    <w:lvl w:ilvl="0">
      <w:lvlJc w:val="left"/>
      <w:lvlText w:val="%1."/>
      <w:numFmt w:val="decimal"/>
      <w:start w:val="23"/>
    </w:lvl>
    <w:lvl w:ilvl="1">
      <w:lvlJc w:val="left"/>
      <w:lvlText w:val="%2"/>
      <w:numFmt w:val="lowerLetter"/>
      <w:start w:val="1"/>
    </w:lvl>
  </w:abstractNum>
  <w:abstractNum w:abstractNumId="96">
    <w:nsid w:val="4F97E3E4"/>
    <w:multiLevelType w:val="hybridMultilevel"/>
    <w:lvl w:ilvl="0">
      <w:lvlJc w:val="left"/>
      <w:lvlText w:val="(%1)"/>
      <w:numFmt w:val="lowerRoman"/>
      <w:start w:val="1"/>
    </w:lvl>
  </w:abstractNum>
  <w:abstractNum w:abstractNumId="97">
    <w:nsid w:val="53B0A9E"/>
    <w:multiLevelType w:val="hybridMultilevel"/>
    <w:lvl w:ilvl="0">
      <w:lvlJc w:val="left"/>
      <w:lvlText w:val="(%1)"/>
      <w:numFmt w:val="lowerLetter"/>
      <w:start w:val="1"/>
    </w:lvl>
    <w:lvl w:ilvl="1">
      <w:lvlJc w:val="left"/>
      <w:lvlText w:val="(%2)"/>
      <w:numFmt w:val="decimal"/>
      <w:start w:val="1"/>
    </w:lvl>
  </w:abstractNum>
  <w:abstractNum w:abstractNumId="98">
    <w:nsid w:val="34FD6B4F"/>
    <w:multiLevelType w:val="hybridMultilevel"/>
    <w:lvl w:ilvl="0">
      <w:lvlJc w:val="left"/>
      <w:lvlText w:val="(%1)"/>
      <w:numFmt w:val="decimal"/>
      <w:start w:val="3"/>
    </w:lvl>
  </w:abstractNum>
  <w:abstractNum w:abstractNumId="99">
    <w:nsid w:val="5915FF32"/>
    <w:multiLevelType w:val="hybridMultilevel"/>
    <w:lvl w:ilvl="0">
      <w:lvlJc w:val="left"/>
      <w:lvlText w:val="(%1)"/>
      <w:numFmt w:val="decimal"/>
      <w:start w:val="5"/>
    </w:lvl>
  </w:abstractNum>
  <w:abstractNum w:abstractNumId="100">
    <w:nsid w:val="56438D15"/>
    <w:multiLevelType w:val="hybridMultilevel"/>
    <w:lvl w:ilvl="0">
      <w:lvlJc w:val="left"/>
      <w:lvlText w:val="(%1)"/>
      <w:numFmt w:val="decimal"/>
      <w:start w:val="15"/>
    </w:lvl>
  </w:abstractNum>
  <w:abstractNum w:abstractNumId="101">
    <w:nsid w:val="519E3149"/>
    <w:multiLevelType w:val="hybridMultilevel"/>
    <w:lvl w:ilvl="0">
      <w:lvlJc w:val="left"/>
      <w:lvlText w:val="(%1)"/>
      <w:numFmt w:val="decimal"/>
      <w:start w:val="26"/>
    </w:lvl>
  </w:abstractNum>
  <w:abstractNum w:abstractNumId="102">
    <w:nsid w:val="2C6E4AFD"/>
    <w:multiLevelType w:val="hybridMultilevel"/>
    <w:lvl w:ilvl="0">
      <w:lvlJc w:val="left"/>
      <w:lvlText w:val="(%1)"/>
      <w:numFmt w:val="decimal"/>
      <w:start w:val="1"/>
    </w:lvl>
  </w:abstractNum>
  <w:abstractNum w:abstractNumId="103">
    <w:nsid w:val="17A1B582"/>
    <w:multiLevelType w:val="hybridMultilevel"/>
    <w:lvl w:ilvl="0">
      <w:lvlJc w:val="left"/>
      <w:lvlText w:val="(%1)"/>
      <w:numFmt w:val="lowerLetter"/>
      <w:start w:val="1"/>
    </w:lvl>
  </w:abstractNum>
  <w:abstractNum w:abstractNumId="104">
    <w:nsid w:val="4DF72E4E"/>
    <w:multiLevelType w:val="hybridMultilevel"/>
    <w:lvl w:ilvl="0">
      <w:lvlJc w:val="left"/>
      <w:lvlText w:val="(%1)"/>
      <w:numFmt w:val="lowerLetter"/>
      <w:start w:val="3"/>
    </w:lvl>
  </w:abstractNum>
  <w:abstractNum w:abstractNumId="105">
    <w:nsid w:val="5046B5A9"/>
    <w:multiLevelType w:val="hybridMultilevel"/>
    <w:lvl w:ilvl="0">
      <w:lvlJc w:val="left"/>
      <w:lvlText w:val="%1"/>
      <w:numFmt w:val="lowerLetter"/>
      <w:start w:val="1"/>
    </w:lvl>
    <w:lvl w:ilvl="1">
      <w:lvlJc w:val="left"/>
      <w:lvlText w:val="(%2)"/>
      <w:numFmt w:val="lowerLetter"/>
      <w:start w:val="1"/>
    </w:lvl>
  </w:abstractNum>
  <w:abstractNum w:abstractNumId="106">
    <w:nsid w:val="5D888A08"/>
    <w:multiLevelType w:val="hybridMultilevel"/>
    <w:lvl w:ilvl="0">
      <w:lvlJc w:val="left"/>
      <w:lvlText w:val="(%1)"/>
      <w:numFmt w:val="lowerLetter"/>
      <w:start w:val="61"/>
    </w:lvl>
    <w:lvl w:ilvl="1">
      <w:lvlJc w:val="left"/>
      <w:lvlText w:val="%2"/>
      <w:numFmt w:val="lowerLetter"/>
      <w:start w:val="1"/>
    </w:lvl>
  </w:abstractNum>
  <w:abstractNum w:abstractNumId="107">
    <w:nsid w:val="2A082C70"/>
    <w:multiLevelType w:val="hybridMultilevel"/>
    <w:lvl w:ilvl="0">
      <w:lvlJc w:val="left"/>
      <w:lvlText w:val="(%1)"/>
      <w:numFmt w:val="lowerLetter"/>
      <w:start w:val="2"/>
    </w:lvl>
  </w:abstractNum>
  <w:abstractNum w:abstractNumId="108">
    <w:nsid w:val="5EC6AFD4"/>
    <w:multiLevelType w:val="hybridMultilevel"/>
    <w:lvl w:ilvl="0">
      <w:lvlJc w:val="left"/>
      <w:lvlText w:val="(%1)"/>
      <w:numFmt w:val="lowerLetter"/>
      <w:start w:val="1"/>
    </w:lvl>
  </w:abstractNum>
  <w:abstractNum w:abstractNumId="109">
    <w:nsid w:val="19E21BB2"/>
    <w:multiLevelType w:val="hybridMultilevel"/>
    <w:lvl w:ilvl="0">
      <w:lvlJc w:val="left"/>
      <w:lvlText w:val="(%1)"/>
      <w:numFmt w:val="lowerLetter"/>
      <w:start w:val="2"/>
    </w:lvl>
  </w:abstractNum>
  <w:abstractNum w:abstractNumId="110">
    <w:nsid w:val="75E0858A"/>
    <w:multiLevelType w:val="hybridMultilevel"/>
    <w:lvl w:ilvl="0">
      <w:lvlJc w:val="left"/>
      <w:lvlText w:val="(%1)"/>
      <w:numFmt w:val="lowerLetter"/>
      <w:start w:val="1"/>
    </w:lvl>
  </w:abstractNum>
  <w:abstractNum w:abstractNumId="111">
    <w:nsid w:val="57A61A29"/>
    <w:multiLevelType w:val="hybridMultilevel"/>
    <w:lvl w:ilvl="0">
      <w:lvlJc w:val="left"/>
      <w:lvlText w:val="(%1)"/>
      <w:numFmt w:val="lowerLetter"/>
      <w:start w:val="1"/>
    </w:lvl>
    <w:lvl w:ilvl="1">
      <w:lvlJc w:val="left"/>
      <w:lvlText w:val="(%2)"/>
      <w:numFmt w:val="decimal"/>
      <w:start w:val="1"/>
    </w:lvl>
  </w:abstractNum>
  <w:abstractNum w:abstractNumId="112">
    <w:nsid w:val="5399C654"/>
    <w:multiLevelType w:val="hybridMultilevel"/>
    <w:lvl w:ilvl="0">
      <w:lvlJc w:val="left"/>
      <w:lvlText w:val="%1"/>
      <w:numFmt w:val="lowerLetter"/>
      <w:start w:val="1"/>
    </w:lvl>
    <w:lvl w:ilvl="1">
      <w:lvlJc w:val="left"/>
      <w:lvlText w:val="(%2)"/>
      <w:numFmt w:val="decimal"/>
      <w:start w:val="3"/>
    </w:lvl>
  </w:abstractNum>
  <w:abstractNum w:abstractNumId="113">
    <w:nsid w:val="20EE1348"/>
    <w:multiLevelType w:val="hybridMultilevel"/>
    <w:lvl w:ilvl="0">
      <w:lvlJc w:val="left"/>
      <w:lvlText w:val="(%1)"/>
      <w:numFmt w:val="lowerLetter"/>
      <w:start w:val="2"/>
    </w:lvl>
    <w:lvl w:ilvl="1">
      <w:lvlJc w:val="left"/>
      <w:lvlText w:val="%2"/>
      <w:numFmt w:val="decimal"/>
      <w:start w:val="1"/>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Letter"/>
      <w:start w:val="1"/>
    </w:lvl>
  </w:abstractNum>
  <w:abstractNum w:abstractNumId="116">
    <w:nsid w:val="2157F6BC"/>
    <w:multiLevelType w:val="hybridMultilevel"/>
    <w:lvl w:ilvl="0">
      <w:lvlJc w:val="left"/>
      <w:lvlText w:val="(%1)"/>
      <w:numFmt w:val="lowerLetter"/>
      <w:start w:val="2"/>
    </w:lvl>
  </w:abstractNum>
  <w:abstractNum w:abstractNumId="117">
    <w:nsid w:val="704E1DD5"/>
    <w:multiLevelType w:val="hybridMultilevel"/>
    <w:lvl w:ilvl="0">
      <w:lvlJc w:val="left"/>
      <w:lvlText w:val="(%1)"/>
      <w:numFmt w:val="lowerLetter"/>
      <w:start w:val="1"/>
    </w:lvl>
  </w:abstractNum>
  <w:abstractNum w:abstractNumId="118">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9">
    <w:nsid w:val="BFFAE18"/>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abstractNum>
  <w:abstractNum w:abstractNumId="120">
    <w:nsid w:val="E3E47A8"/>
    <w:multiLevelType w:val="hybridMultilevel"/>
    <w:lvl w:ilvl="0">
      <w:lvlJc w:val="left"/>
      <w:lvlText w:val="(%1)"/>
      <w:numFmt w:val="lowerLetter"/>
      <w:start w:val="2"/>
    </w:lvl>
  </w:abstractNum>
  <w:abstractNum w:abstractNumId="121">
    <w:nsid w:val="2E48F044"/>
    <w:multiLevelType w:val="hybridMultilevel"/>
    <w:lvl w:ilvl="0">
      <w:lvlJc w:val="left"/>
      <w:lvlText w:val="(%1)"/>
      <w:numFmt w:val="lowerLetter"/>
      <w:start w:val="4"/>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2"/>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1"/>
    </w:lvl>
  </w:abstractNum>
  <w:abstractNum w:abstractNumId="126">
    <w:nsid w:val="634C574C"/>
    <w:multiLevelType w:val="hybridMultilevel"/>
    <w:lvl w:ilvl="0">
      <w:lvlJc w:val="left"/>
      <w:lvlText w:val="(%1)"/>
      <w:numFmt w:val="lowerLetter"/>
      <w:start w:val="2"/>
    </w:lvl>
  </w:abstractNum>
  <w:abstractNum w:abstractNumId="127">
    <w:nsid w:val="24E99DD7"/>
    <w:multiLevelType w:val="hybridMultilevel"/>
    <w:lvl w:ilvl="0">
      <w:lvlJc w:val="left"/>
      <w:lvlText w:val="(%1)"/>
      <w:numFmt w:val="lowerRoman"/>
      <w:start w:val="1"/>
    </w:lvl>
    <w:lvl w:ilvl="1">
      <w:lvlJc w:val="left"/>
      <w:lvlText w:val="(%2)"/>
      <w:numFmt w:val="upperLetter"/>
      <w:start w:val="1"/>
    </w:lvl>
  </w:abstractNum>
  <w:abstractNum w:abstractNumId="128">
    <w:nsid w:val="2A31B62D"/>
    <w:multiLevelType w:val="hybridMultilevel"/>
    <w:lvl w:ilvl="0">
      <w:lvlJc w:val="left"/>
      <w:lvlText w:val="(%1)"/>
      <w:numFmt w:val="lowerRoman"/>
      <w:start w:val="5"/>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lowerLetter"/>
      <w:start w:val="6"/>
    </w:lvl>
  </w:abstractNum>
  <w:abstractNum w:abstractNumId="131">
    <w:nsid w:val="754342"/>
    <w:multiLevelType w:val="hybridMultilevel"/>
    <w:lvl w:ilvl="0">
      <w:lvlJc w:val="left"/>
      <w:lvlText w:val="(%1)"/>
      <w:numFmt w:val="lowerLetter"/>
      <w:start w:val="11"/>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1"/>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2"/>
    </w:lvl>
    <w:lvl w:ilvl="1">
      <w:lvlJc w:val="left"/>
      <w:lvlText w:val="(%2)"/>
      <w:numFmt w:val="lowerRoman"/>
      <w:start w:val="1"/>
    </w:lvl>
  </w:abstractNum>
  <w:abstractNum w:abstractNumId="136">
    <w:nsid w:val="7AB49DAF"/>
    <w:multiLevelType w:val="hybridMultilevel"/>
    <w:lvl w:ilvl="0">
      <w:lvlJc w:val="left"/>
      <w:lvlText w:val="(%1)"/>
      <w:numFmt w:val="lowerLetter"/>
      <w:start w:val="3"/>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Letter"/>
      <w:start w:val="1"/>
    </w:lvl>
    <w:lvl w:ilvl="1">
      <w:lvlJc w:val="left"/>
      <w:lvlText w:val="(%2)"/>
      <w:numFmt w:val="lowerLetter"/>
      <w:start w:val="2"/>
    </w:lvl>
  </w:abstractNum>
  <w:abstractNum w:abstractNumId="139">
    <w:nsid w:val="597B4D84"/>
    <w:multiLevelType w:val="hybridMultilevel"/>
    <w:lvl w:ilvl="0">
      <w:lvlJc w:val="left"/>
      <w:lvlText w:val="(%1)"/>
      <w:numFmt w:val="lowerLetter"/>
      <w:start w:val="1"/>
    </w:lvl>
    <w:lvl w:ilvl="1">
      <w:lvlJc w:val="left"/>
      <w:lvlText w:val="(%2)"/>
      <w:numFmt w:val="lowerLetter"/>
      <w:start w:val="4"/>
    </w:lvl>
  </w:abstractNum>
  <w:abstractNum w:abstractNumId="140">
    <w:nsid w:val="F819E7F"/>
    <w:multiLevelType w:val="hybridMultilevel"/>
    <w:lvl w:ilvl="0">
      <w:lvlJc w:val="left"/>
      <w:lvlText w:val="(%1)"/>
      <w:numFmt w:val="lowerLetter"/>
      <w:start w:val="5"/>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1"/>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Letter"/>
      <w:start w:val="1"/>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1:"/>
      <w:numFmt w:val="upperLetter"/>
      <w:start w:val="20"/>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jpe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jpeg"/><Relationship Id="rId79" Type="http://schemas.openxmlformats.org/officeDocument/2006/relationships/image" Target="media/image54.jpeg"/><Relationship Id="rId80" Type="http://schemas.openxmlformats.org/officeDocument/2006/relationships/image" Target="media/image55.jpeg"/><Relationship Id="rId81" Type="http://schemas.openxmlformats.org/officeDocument/2006/relationships/image" Target="media/image56.jpeg"/><Relationship Id="rId82" Type="http://schemas.openxmlformats.org/officeDocument/2006/relationships/image" Target="media/image57.jpeg"/><Relationship Id="rId83" Type="http://schemas.openxmlformats.org/officeDocument/2006/relationships/image" Target="media/image58.png"/><Relationship Id="rId24" Type="http://schemas.openxmlformats.org/officeDocument/2006/relationships/hyperlink" Target="https://www.sec.gov/ix?doc=/Archives/edgar/data/0001662774/000095017024039440/qncx-20231231.htm" TargetMode="External"/><Relationship Id="rId25" Type="http://schemas.openxmlformats.org/officeDocument/2006/relationships/hyperlink" Target="https://www.sec.gov/ix?doc=/Archives/edgar/data/0001662774/000095017024058201/qncx-20240331.htm" TargetMode="External"/><Relationship Id="rId26" Type="http://schemas.openxmlformats.org/officeDocument/2006/relationships/hyperlink" Target="https://www.sec.gov/ix?doc=/Archives/edgar/data/0001662774/000166277424000005/qncx-20240630.htm" TargetMode="External"/><Relationship Id="rId27" Type="http://schemas.openxmlformats.org/officeDocument/2006/relationships/hyperlink" Target="https://www.sec.gov/ix?doc=/Archives/edgar/data/0001662774/000166277424000011/qncx-20240930.htm" TargetMode="External"/><Relationship Id="rId28" Type="http://schemas.openxmlformats.org/officeDocument/2006/relationships/hyperlink" Target="https://www.sec.gov/ix?doc=/Archives/edgar/data/1662774/000119312524110034/d75541ddef14a.htm" TargetMode="External"/><Relationship Id="rId29" Type="http://schemas.openxmlformats.org/officeDocument/2006/relationships/hyperlink" Target="https://www.sec.gov/ix?doc=/Archives/edgar/data/0001662774/000119312524001482/d641060d8k.htm" TargetMode="External"/><Relationship Id="rId30" Type="http://schemas.openxmlformats.org/officeDocument/2006/relationships/hyperlink" Target="https://www.sec.gov/ix?doc=/Archives/edgar/data/0001662774/000119312524003344/d109820d8ka.htm" TargetMode="External"/><Relationship Id="rId31" Type="http://schemas.openxmlformats.org/officeDocument/2006/relationships/hyperlink" Target="https://www.sec.gov/ix?doc=/Archives/edgar/data/0001662774/000119312524018071/d661573d8k.htm" TargetMode="External"/><Relationship Id="rId32" Type="http://schemas.openxmlformats.org/officeDocument/2006/relationships/hyperlink" Target="https://www.sec.gov/ix?doc=/Archives/edgar/data/0001662774/000119312524037521/d791068d8k.htm" TargetMode="External"/><Relationship Id="rId33" Type="http://schemas.openxmlformats.org/officeDocument/2006/relationships/hyperlink" Target="https://www.sec.gov/ix?doc=/Archives/edgar/data/0001662774/000119312524156202/d844037d8k.htm" TargetMode="External"/><Relationship Id="rId34" Type="http://schemas.openxmlformats.org/officeDocument/2006/relationships/hyperlink" Target="https://www.sec.gov/ix?doc=/Archives/edgar/data/0001662774/000119312524165631/d835941d8k.htm" TargetMode="External"/><Relationship Id="rId35" Type="http://schemas.openxmlformats.org/officeDocument/2006/relationships/hyperlink" Target="https://www.sec.gov/ix?doc=/Archives/edgar/data/0001662774/000166277424000013/qncx-20241112.htm" TargetMode="External"/><Relationship Id="rId36" Type="http://schemas.openxmlformats.org/officeDocument/2006/relationships/hyperlink" Target="https://www.sec.gov/Archives/edgar/data/0001662774/000119312519131785/d739253d8a12b.htm" TargetMode="External"/><Relationship Id="rId37" Type="http://schemas.openxmlformats.org/officeDocument/2006/relationships/hyperlink" Target="https://www.sec.gov/Archives/edgar/data/1662774/000156459021009867/crtx-ex43_435.htm" TargetMode="External"/><Relationship Id="rId52" Type="http://schemas.openxmlformats.org/officeDocument/2006/relationships/hyperlink" Target="https://www.sec.gov/Archives/edgar/data/1662774/000119312519145468/d747357dex31.htm" TargetMode="External"/><Relationship Id="rId53" Type="http://schemas.openxmlformats.org/officeDocument/2006/relationships/hyperlink" Target="https://www.sec.gov/Archives/edgar/data/1662774/000119312522207867/d346512dex31.htm" TargetMode="External"/><Relationship Id="rId54" Type="http://schemas.openxmlformats.org/officeDocument/2006/relationships/hyperlink" Target="https://www.sec.gov/Archives/edgar/data/1662774/000119312522207867/d346512dex32.htm" TargetMode="External"/><Relationship Id="rId55" Type="http://schemas.openxmlformats.org/officeDocument/2006/relationships/hyperlink" Target="https://www.sec.gov/Archives/edgar/data/1662774/000119312519123571/d70351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2024-12-18T15:12:25Z</dcterms:created>
  <dcterms:modified xsi:type="dcterms:W3CDTF">2024-12-18T15:12:25Z</dcterms:modified>
</cp:coreProperties>
</file>