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7417ds3.htm"/>
        <w:bookmarkStart w:id="1" w:name="ksd167417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July 31,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90-1024039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611 Gateway Boulevard, Suite 273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0" w:after="0"/>
        <w:jc w:val="center"/>
        <w:rPr>
          <w:rFonts w:ascii="Times New Roman" w:hAnsi="Times New Roman"/>
          <w:b/>
          <w:sz w:val="20"/>
        </w:rPr>
      </w:pPr>
      <w:r>
        <w:rPr>
          <w:rFonts w:ascii="Times New Roman" w:hAnsi="Times New Roman"/>
          <w:b/>
          <w:sz w:val="20"/>
        </w:rPr>
        <w:t xml:space="preserve">(415) 910-5717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20"/>
        </w:rPr>
      </w:pPr>
      <w:r>
        <w:rPr>
          <w:rFonts w:ascii="Times New Roman" w:hAnsi="Times New Roman"/>
          <w:b/>
          <w:sz w:val="20"/>
        </w:rPr>
        <w:t xml:space="preserve">Dirk Thye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611 Gateway Boulevard, Suite 273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center"/>
        <w:rPr>
          <w:rFonts w:ascii="Times New Roman" w:hAnsi="Times New Roman"/>
          <w:b/>
          <w:sz w:val="20"/>
        </w:rPr>
      </w:pPr>
      <w:r>
        <w:rPr>
          <w:rFonts w:ascii="Times New Roman" w:hAnsi="Times New Roman"/>
          <w:b/>
          <w:sz w:val="20"/>
        </w:rPr>
        <w:t xml:space="preserve">Madison A. Jones </w:t>
      </w:r>
    </w:p>
    <w:p>
      <w:pPr>
        <w:pStyle w:val="TextBody"/>
        <w:bidi w:val="0"/>
        <w:spacing w:before="0" w:after="0"/>
        <w:jc w:val="center"/>
        <w:rPr>
          <w:rFonts w:ascii="Times New Roman" w:hAnsi="Times New Roman"/>
          <w:b/>
          <w:sz w:val="20"/>
        </w:rPr>
      </w:pPr>
      <w:r>
        <w:rPr>
          <w:rFonts w:ascii="Times New Roman" w:hAnsi="Times New Roman"/>
          <w:b/>
          <w:sz w:val="20"/>
        </w:rPr>
        <w:t xml:space="preserve">Ariel Rom </w:t>
      </w:r>
    </w:p>
    <w:p>
      <w:pPr>
        <w:pStyle w:val="TextBody"/>
        <w:bidi w:val="0"/>
        <w:spacing w:before="0" w:after="0"/>
        <w:jc w:val="center"/>
        <w:rPr>
          <w:rFonts w:ascii="Times New Roman" w:hAnsi="Times New Roman"/>
          <w:b/>
          <w:sz w:val="20"/>
        </w:rPr>
      </w:pPr>
      <w:r>
        <w:rPr>
          <w:rFonts w:ascii="Times New Roman" w:hAnsi="Times New Roman"/>
          <w:b/>
          <w:sz w:val="20"/>
        </w:rPr>
        <w:t xml:space="preserve">Rama Padmanabhan </w:t>
      </w:r>
    </w:p>
    <w:p>
      <w:pPr>
        <w:pStyle w:val="TextBody"/>
        <w:bidi w:val="0"/>
        <w:spacing w:before="0" w:after="0"/>
        <w:jc w:val="center"/>
        <w:rPr>
          <w:rFonts w:ascii="Times New Roman" w:hAnsi="Times New Roman"/>
          <w:b/>
          <w:sz w:val="20"/>
        </w:rPr>
      </w:pPr>
      <w:r>
        <w:rPr>
          <w:rFonts w:ascii="Times New Roman" w:hAnsi="Times New Roman"/>
          <w:b/>
          <w:sz w:val="20"/>
        </w:rPr>
        <w:t xml:space="preserve">Rita Sobral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1299 Pennsylvania Avenue, NW, Suite 700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20004 </w:t>
      </w:r>
    </w:p>
    <w:p>
      <w:pPr>
        <w:pStyle w:val="TextBody"/>
        <w:bidi w:val="0"/>
        <w:spacing w:before="0" w:after="0"/>
        <w:jc w:val="center"/>
        <w:rPr>
          <w:rFonts w:ascii="Times New Roman" w:hAnsi="Times New Roman"/>
          <w:b/>
          <w:sz w:val="20"/>
        </w:rPr>
      </w:pPr>
      <w:r>
        <w:rPr>
          <w:rFonts w:ascii="Times New Roman" w:hAnsi="Times New Roman"/>
          <w:b/>
          <w:sz w:val="20"/>
        </w:rPr>
        <w:t xml:space="preserve">(202) 842-7800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earliest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2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Large 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Accelerated filer</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3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Non-accelerated filer</w:t>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pPr>
            <w:r>
              <w:rPr/>
              <w:t>☒</w:t>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Smaller reporting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r>
        <w:trPr>
          <w:trHeight w:val="30" w:hRule="atLeast"/>
        </w:trPr>
        <w:tc>
          <w:tcPr>
            <w:tcW w:w="2368"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c>
          <w:tcPr>
            <w:tcW w:w="3070" w:type="dxa"/>
            <w:gridSpan w:val="2"/>
            <w:tcBorders/>
            <w:vAlign w:val="center"/>
          </w:tcPr>
          <w:p>
            <w:pPr>
              <w:pStyle w:val="TableContents"/>
              <w:bidi w:val="0"/>
              <w:spacing w:before="0" w:after="283"/>
              <w:jc w:val="left"/>
              <w:rPr>
                <w:sz w:val="4"/>
                <w:szCs w:val="4"/>
              </w:rPr>
            </w:pPr>
            <w:r>
              <w:rPr>
                <w:sz w:val="4"/>
                <w:szCs w:val="4"/>
              </w:rPr>
            </w:r>
          </w:p>
        </w:tc>
        <w:tc>
          <w:tcPr>
            <w:tcW w:w="341"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32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920" w:type="dxa"/>
            <w:tcBorders/>
            <w:vAlign w:val="bottom"/>
          </w:tcPr>
          <w:p>
            <w:pPr>
              <w:pStyle w:val="TableContents"/>
              <w:bidi w:val="0"/>
              <w:spacing w:before="0" w:after="283"/>
              <w:jc w:val="left"/>
              <w:rPr/>
            </w:pPr>
            <w:r>
              <w:rPr/>
              <w:t>Emerging growth company</w:t>
            </w:r>
          </w:p>
        </w:tc>
        <w:tc>
          <w:tcPr>
            <w:tcW w:w="1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color w:val="FF4338"/>
          <w:sz w:val="20"/>
        </w:rPr>
      </w:pPr>
      <w:r>
        <w:rPr>
          <w:rFonts w:ascii="Times New Roman" w:hAnsi="Times New Roman"/>
          <w:b/>
          <w:color w:val="FF4338"/>
          <w:sz w:val="20"/>
        </w:rPr>
        <w:t xml:space="preserve">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240" w:after="0"/>
        <w:jc w:val="center"/>
        <w:rPr>
          <w:rFonts w:ascii="Times New Roman" w:hAnsi="Times New Roman"/>
          <w:b/>
          <w:color w:val="FF4338"/>
          <w:sz w:val="20"/>
        </w:rPr>
      </w:pPr>
      <w:r>
        <w:rPr>
          <w:rFonts w:ascii="Times New Roman" w:hAnsi="Times New Roman"/>
          <w:b/>
          <w:color w:val="FF4338"/>
          <w:sz w:val="20"/>
        </w:rPr>
        <w:t xml:space="preserve">SUBJECT TO COMPLETION, DATED JULY 31, 2026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5930" cy="93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5930" cy="936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240" w:after="0"/>
        <w:jc w:val="center"/>
        <w:rPr>
          <w:rFonts w:ascii="Times New Roman" w:hAnsi="Times New Roman"/>
          <w:b/>
          <w:sz w:val="32"/>
        </w:rPr>
      </w:pPr>
      <w:r>
        <w:rPr>
          <w:rFonts w:ascii="Times New Roman" w:hAnsi="Times New Roman"/>
          <w:b/>
          <w:sz w:val="32"/>
        </w:rPr>
        <w:t xml:space="preserve">15,470,099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proposed resale or other disposition by the selling stockholders identified herein (the “Selling Stockholders”), of up to (i) 162,971 shares (the “Acquisition Shares”) of our common stock, par value $0.001 per share (“Common Stock”), (ii) 3,489,281 shares (“Acquisition Conversion Shares”) of Common Stock issuable upon the conversion of 67,101.235 shares (“Acquisition Preferred Shares”) of our Series C Non-Voting Convertible Preferred Stock, par value $0.001 per share (“Series C Preferred Stock”), (iii) 7,498,447 shares of Common Stock (the “Private Placement Conversion Shares”) issuable upon the conversion of 144,200.633 shares of our Series C Preferred Stock (the “Private Placement Preferred Shares”), (iv) 570,169 shares of Common Stock (the “Acquisition Warrant Conversion Shares”) issuable upon exercise of the Financing Warrants (as defined below) issued in the Acquisition (the “Acquisition Warrants” and, together with the Financing Warrants, the “Warrants”) (or, if such Acquisition Warrants are exercised for Series C Preferred Stock (the “Acquisition Warrant Preferred Shares”), the shares of Common Stock issuable upon conversion of such shares of Series C Preferred Stock) and (v) 3,749,231 shares of Common Stock (the “Private Placement Warrant Conversion Shares”) issuable upon exercise of the Financing Warrants (or, if such Financing Warrants are exercised for Series C Preferred Stock (the “Private Placement Warrant Preferred Shares”), the shares of Common Stock issuable upon conversion of such shares of Series C Preferred Stock). The Warrants are exercisable at any time and from time to time beginning on or after the trading day following the earlier of our public disclosure of (i) topline results from the ongoing LAM-001 Phase 2 trial of bronchiolitis obliterans syndrome (“BOS” and, such trial, the “BOS Trial”) and (ii) the termination or suspension of the BOS Trial (such date, as applicable, the “Triggering Event”) and through (and including) the 30th day following the applicable Triggering Event (the “Termination Date”) but not thereafter. The Warrants are initially exercisable for shares of Series C Preferred Stock but will become exercisable for shares of Common Stock following the approval of the Required Company Stockholder Matters, subject to certain beneficial ownership limitations set by the holders thereof. Subject to receiving approval by our stockholders of (i) the issuance of shares of Common Stock upon conversion of Series C Preferred Stock and exercise of the Warrants and certain options held by the former equity holders of Orphai Subsidiary (as defined below) that we assumed in the Acquisition (as defined below), which (a) will represent more than 20% of the shares of Common Stock outstanding pursuant to Nasdaq Listing Rule 5635(a) and (b) may, together with certain changes to management and our Board of Directors (“Board”), result in a change of control of the Company pursuant to Nasdaq Listing Rule 5635(b) (the “Conversion Proposal”), (ii) issuance of shares of Common Stock, upon conversion of the Private Placement Preferred Shares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upon exercise of the Financing Warrants pursuant to Nasdaq Listing Rule 5635(d) (the “Minimum Price Proposal”) and (iii) an amendment to our amended and restated certificate of incorporation to increase the number of authorized shares of Common Stock from 250,000,000 to 275,000,000 (the “Authorized Share Proposal” and, together with the Conversion Proposal and the Minimum Price Proposal, the “Required Company Stockholder Matters”) and certain beneficial ownership limitations set by each preferred stockholder, each share of Series C Preferred Stock will automatically convert into 52 shares of Common Stock. The shares of Common Stock registered by this prospectus are referred to herein as the “Resale Shares.”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Shares and Acquisition Preferred Shares were issued to former stockholders of Orphai Holdings Therapeutics, Inc., a Delaware corporation (“Orphai HoldCo”), and the Acquisition Warrants were issued to former warrant holders of Orphai HoldCo in exchange for their warrants to purchase Orphai HoldCo capital stock, in each case, in connection with our acquisition (the “Acquisition”) of Orphai HoldCo and its wholly owned subsidiary Orphai Therapeutics, LLC (“Orphai Subsidiary” and, together with Orphai HoldCo, “Orphai”), pursuant to that certain Agreement and Plan of Merger, dated May 17, 2026 (the “Merger Agreement”), by and among the Company, Phoenix Merger Sub I, Inc., Phoenix Merger Sub II, LLC, Orphai HoldCo and Orphai Subsidiary (the “Acquisition Agreement”), which closed on May 18, 2026. The Private Placement Preferred Shares and the warrants to purchase the Private Placement Warrant Preferred Shares (the “Financing Warrants”) were issued and sold to accredited investors (the “Investors”) in a private placement (the “2026 Private Placement” and, together with the Acquisition and the other transactions and actions contemplated by the Acquisition Agreement, the “Acquisition Transactions”), pursuant to that certain Securities Purchase Agreement (the “Purchase Agreement”), dated as of May 18, 2026, by and among the Company and the Investors, which closed on May 21, 2026. We are not offering or selling any Resale Shares under this prospectus and will not receive any of the proceeds from the sale or other disposition of Resale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this prospectus and any applicable prospectus supplement, as well as any documents incorporated by reference herein or therein, before you invest in any of the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Global Select Market under the symbol “QNCX.” On July 30, 2026, the last reported sales price for our Common Stock was $23.03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An investment in our securities involves a high degree of risk. You should carefully consider the information under the heading “</w:t>
      </w:r>
      <w:hyperlink w:anchor="toc167417_4">
        <w:r>
          <w:rPr>
            <w:rStyle w:val="InternetLink"/>
            <w:rFonts w:ascii="Times New Roman" w:hAnsi="Times New Roman"/>
            <w:b/>
            <w:sz w:val="24"/>
          </w:rPr>
          <w:t>Risk Factors</w:t>
        </w:r>
      </w:hyperlink>
      <w:r>
        <w:rPr>
          <w:rFonts w:ascii="Times New Roman" w:hAnsi="Times New Roman"/>
          <w:b/>
          <w:sz w:val="24"/>
        </w:rPr>
        <w:t xml:space="preserve">” beginning on page 11 of this prospectus and any applicable prospectus supplement,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2">
              <w:r>
                <w:rPr>
                  <w:rStyle w:val="InternetLink"/>
                  <w:rFonts w:ascii="Times New Roman" w:hAnsi="Times New Roman"/>
                  <w:sz w:val="20"/>
                </w:rPr>
                <w:t>CAUTIONARY STATEMENT CONCERNING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10">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67417_11">
              <w:r>
                <w:rPr>
                  <w:rStyle w:val="InternetLink"/>
                  <w:rFonts w:ascii="Times New Roman" w:hAnsi="Times New Roman"/>
                  <w:sz w:val="20"/>
                </w:rPr>
                <w:t>INCORPORATION OF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6741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using a “shelf” registration process. Under this shelf registration process, the Selling Stockholders may, from time to time, offer and sell the securities described in this prospectus in one or more offerings. Information about the Selling Stockholders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the Selling Stockholders may offer. Each time the Selling Stockholders sell shares of Common Stock using this prospectus, to the extent necessary and required by law, we will provide a prospectus supplement that will contain specific information about the terms of that offering, including the number of shares of Common Stock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this prospectus before making an investment in shares of our Common Stock. See “Where You Can Find More Information”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and incorporates by reference information that you should consider when making your investment decision. Neither we nor the Selling Stockholders have authorized anyone to give any information or to make any representation other than those contained or incorporated by reference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the context otherwise requires, the terms (i) “we,” “us,” “our,” “Quince,” the “Company” and other similar terms refer to the business and operations of Quince Therapeutics, Inc. and its consolidated subsidiaries for periods prior to the Acquisition and to Quince Therapeutics, Inc. and its consolidated subsidiaries, including Orphai Therapeutics for periods after the Acquisition; (ii) “Orphai HoldCo” refers to Orphai Holdings Therapeutics, Inc., (iii) “Orphai Subsidiary” refers to Orphai Therapeutics, LLC, a wholly owned subsidiary of Orphai HoldCo, (iv) “Orphai” or “Orphai Therapeutics” refer collectively to Orphai HoldCo and Orphai Subsidiary and (v) “Acquisition” refers to the acquisition by the Company of Orphai Therapeutics pursuant to the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all share amounts, per-share prices, and option exercise prices presented in this prospectus give retroactive effect to (i) a 1-for-10 reverse stock split of our Common Stock that became effective on April 10, 2026 (the “April 2026 Reverse Stock Split”) and (ii) the 1-for-20 reverse stock split of our Common Stock that became effective on June 29, 2026 (the “Reverse Stock Split”). When taken together, the April 2026 Reverse Stock Split and the Reverse Stock Split result in a cumulative 1-for-200 adjustment to share counts, per-share prices, and exercise prices for periods prior to April 10, 2026. Share counts and per-share prices for periods between April 10, 2026 and June 28, 2026 give effect to the April 2026 Reverse Stock Split but not the Reverse Stock Split and have been retroactively adjusted to reflect the Reverse Stock Split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references to our trademarks and to trademarks belonging to other entities. Solely for convenience, trademarks and trade names referred to in this prospectus, including logos, artwork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67417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contained in this prospectus, are forward-looking statements, including, without limitation, statements regarding: the Required Company Stockholder Matters; the Stockholder Meeting (as defined below); the expected Company name and ticker if the Required Company Stockholder Matters are approved; our ability to comply with Nasdaq’s continued listing standards or, if necessary, to meet Nasdaq’s initial listing standards; our ability to achieve the expected benefits or opportunities with respect to the Acquisition Transactions; the design and potential benefits of LAM-001, including as a disease-modifying therapy for pulmonary disease; anticipated regulatory and development processes and timelines, including the expected timing to initiate the planned Phase 2 trial of LAM-001 in PH-ILD (as defined below) and the planned Phase 2 trial of LAM-001 in SAPH (as defined below), the expected timing for data readouts from the ongoing BOS Trial and the planned Phase 2 trial of LAM-001 in PH-ILD; the estimated patient populations in the U.S. and Europe for PH-ILD, BOS and SAPH; the potential advantages of mTOR inhibitors in PH-ILD; and the design and potential benefits of the Company’s proprietary processes. Forward-looking statements generally relate to future events or our future financial or operating performance. The words “aim,” “anticipate,” “assume,” “can,” “continue,” “could,” “designed to,” “estimate,” “evaluate,” “expect,” “explore,” “intend,” “intended to,” “likely,” “may,” “might,” “objective,” “ongoing,” “plan,” “potential,” “predict,” “project,” “pursue,” “seek,” “should,” “to be,” “will,” and “would,” or the negative of such terms or other similar expressions that convey uncertainty of future events or outcomes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those discussed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You are cautioned not to place undue reliance on these forward-looking statements, which speak only as of the date of this prospectus or, in the case of documents referred to or incorporated by reference, the date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67417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herein,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a novel disease modifying therapeutic to address the significant unmet medical need associated with pulmonary disorders with few, if any, treatment options available. On May 18, 2026, we completed the Acquisition of Orphai Therapeutics, a clinical-stage biopharmaceutical company developing therapies to treat serious, underserved pulmonary disorders. The Acquisition brought into our pipeline Orphai’s lead asset, LAM-001, a proprietary investigational inhaled dry powder formulation of rapamycin whose differentiated characteristics may permit treatment of conditions associated with dysfunctional mammalian target of rapamycin (“mTOR”) activity that cannot be adequately treated using a systemically delivered formulation, including oral solution or tablets.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acquisition, our lead product candidate is LAM-001. We are currently evaluating the use of LAM-001 as a treatment for patients with pulmonary hypertension associated with interstitial lung disease (“PH-ILD”) and for patients with bronchiolitis obliterans syndrome post lung transplant (“BOS”), both severe, progressive and often life-threatening indications with few therapeutic alternatives of significant clinical benefit. In our recently completed Phase 2a trial, which enrolled patients with pulmonary arterial hypertension (“PAH”) as well as patients with PH-ILD, LAM-001 achieved consistent, clinically relevant improvement across multiple established endpoints, including pulmonary vascular resistance (“PVR”), six-minute walking distance (“6MWD”) and functional class rankings. A Phase 2b trial of LAM-001 is ongoing, evaluating 75 patients with PH-ILD, with data expected in the first quarter of 2028. Our fully enrolled Phase 2 trial of LAM-001 in BOS is currently ongoing, with results anticipated in the first quarter of 2027. In addition, we expect to initiate a Phase 2 trial to evaluate the use of LAM-001 as a treatment for sarcoidosis-associated pulmonary hypertension (“SAPH”) in late 2026, with data expected in the fourth quarter of 2028.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Pipeline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8815" cy="2331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58815" cy="233172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lead asset, LAM-001, we are developing AIT-101 (apilimod dimesylate capsule), an orally administered, potent and highly selective inhibitor of phosphatidylinositol-3-phosphate 5-kinase (PIKfyve) that has therapeutic potential in neurological diseases, which completed a randomized, placebo controlled, Phase 2a study of AIT-101 in 15 ALS subjects with the c9orf72 mutation, AIT-102, a novel molecule that was selected from a series of analogues of the natural product mithramycin, in preclinical development for oncology indications, and our proprietary AIDE technology platform, a novel and innovative drug/device combination that uses an automated process designed to encapsulate a drug into the patient’s own red blood cells, which is in non-clinical studies to explore the feasibility and potential benefits of encapsulating drugs that may be complementary to our other pipeline assets.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18, 2026 (the “Closing”), we completed the acquisition of Orphai Therapeutics in accordance with the terms of the Agreement and Plan of Merger (the “Acquisition Agreement”), dated May 17, 2026, by and among the Company, Phoenix Merger Sub I, Inc., a Delaware corporation and a wholly owned subsidiary of the Company (“First Merger Sub”), Phoenix Merger Sub II, LLC, a Delaware limited liability company and wholly owned subsidiary of the Company (“Second Merger Sub”), Orphai HoldCo and Orphai Subsidiary, pursuant to which, First Merger Sub merged with and into Orphai HoldCo, pursuant to which Orphai HoldCo was the surviving corporation and became a wholly owned subsidiary of the Company (the “First Merger”). Immediately following the First Merger, Orphai HoldCo merged with and into Second Merger Sub, pursuant to which Second Merger Sub was the surviving entity.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Acquisition was accounted for as an asset acquisition as Orphai did not meet the definition of a business under Accounting Standard Codification Topic 805, Business Combinations (“ASC 805”) as substantially all of its value was in the IPR&amp;D asset. Accordingly, the assets and liabilities of the Company are recorded as of the Orphai Acquisition closing date at their respective carrying values, and the acquired net assets and assumed net liabilities of Orphai are recorded as of the Acquisition closing date at their fair value. The Company was determined to be the accounting acquirer based upon the terms of the Acquisition. Orphai was determined to be a variable interest entity (“VIE”) as it was insufficiently capitalized to fund future operations, where the Company is the primary beneficiary. As such, the acquisition costs were expensed and not capitalized as part of the purchase price in accordance with ASC 805. In addition, the excess of the consideration transferred, and the fair value of the net asset acquired, IPR&amp;D, and net liabilities assumed were recorded as an asset acquisition loss and included in the loss on acquisition line item in the condensed consolidated statements of operations and comprehensive income (loss).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Acquisition was structured as a stock-for-stock transaction pursuant to which all of Orphai Therapeutics’ outstanding equity interests were exchanged based on a fixed exchange ratio for aggregate consideration of (i) 162,971 shares of Common Stock (after giving effect to the Reverse Stock Split) and (ii) 67,101.235 of Series C Preferred Stock, each share of which is convertible into 52 shares of Common Stock (after giving effect to the adjustment to the conversion ratio as a result of the Reverse Stock Split and representing 3,489,281 shares on an as-converted-to-common basis and without giving effect to any beneficial ownership limitations), subject to receipt of approval of the Required Company Stockholder Matters and the beneficial ownership limitations set by each holder. In addition, the outstanding warrants to purchase shares of Orphai HoldCo capital stock were exchanged for Acquisition Warrants to purchase an aggregate of 10,964.505 shares of Series C Preferred Stock (which are convertible into 570,169 shares of Common Stock, subject to receipt of approval of the Required Company Stockholder Matters, after giving effect to the Reverse Stock Split and without giving effect to any beneficial ownership limitations) and all outstanding options to purchase Orphai Subsidiary common stock were assumed by us and converted into options to purchase an aggregate of 1,308,804 shares of Common Stock (after giving effect to the Reverse Stock Split). The Series C Preferred Stock was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newly designated series of preferred stock and was intended to have economic rights equivalent to our Common Stock, but with no voting rights. The rights of the Series C Preferred Stock are set forth in the Certificate of Designation of Series C Non-Voting Convertible Preferred Stock (the “Certificate of Designation”) that we filed with the Secretary of State of the State of Delaware.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Acquisition, we entered into the Purchase Agreement with the Investors, pursuant to which, on May 21, 2026 (the “PIPE Closing”), we issued and sold an aggregate of 144,200.633 shares of Series C Preferred Stock, each share of which is convertible into 52 shares of Common Stock (after giving effect to the adjustment to the conversion ratio as a result of the Reverse Stock Split and representing 7,498,447 shares on an as-converted-to-common basis and without giving effect to any beneficial ownership limitations), subject to receipt of approval of the Required Company Stockholder Matters and the beneficial ownership limitations set by each holder, at a price of $797.50 per share of Series C Preferred Stock for aggregate gross proceeds of approximately $115 million. If at any time after the earlier of (i) the approval of the Required Company Stockholder Matters or (ii) the date that is six months following the initial issuance date of the Series C Preferred Stock, we fail to deliver to the holders of the Series C Preferred Stock shares of common stock underlying such shares of Series C Preferred Stock (other than in certain circumstances set forth in the Certificate of Designation), the holders of the Series C Preferred Stock would be entitled to require us to settle such undelivered shares for cash in an amount equal to the fair value of such undelivered shares of Common Stock at such time, as described in the Certificate of Designation. If we are forced to cash settle a significant amount of the shares of our common stock underlying the Series C Preferred Stock, it could materially affect our results of operations, business and financial condition. In addition, in connection with the 2026 Private Placement, we issued to the Investors Financing Warrants to purchase an aggregate of 72,100.322 shares of Series C Preferred Stock at an exercise price of $996.90 per share of Series C Preferred Stock (representing 3,749,231 shares of Common Stock on an as-converted-to-common basis, after giving effect to the Reverse Stock Split and without giving effect to any beneficial ownership limitations).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18, 2026, we entered into a Registration Rights Agreement (the “Registration Rights Agreement”) with the Investors. Pursuant to the Registration Rights Agreement, we are obligated to prepare and file a resale registration statement with the SEC within 75 calendar days following the closing of the 2026 Private Placement. The Registration Rights Agreement also contains customary terms, including an obligation to indemnify the Investors and certain affiliates from certain liabilities relating to any misstatements or omissions in the resale registration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Acquisition Transactions were approved by our Board and the board of directors and stockholders of Orphai Therapeutics. The closings of the Acquisition Transactions were not subject to the approval of Quince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file a definitive proxy statement with the SEC to solicit approval of the Required Company Stockholder Matters, among other matters, at a special meeting of our stockholders (the “Stockholder Meeting”). Except as otherwise required by law (e.g., voting on a change to the authorized shares of Series C Preferred Stock or the rights of such shares as required by the General Corporation Law of the State of Delaware (“DGCL”)) and the Certificate of Designation, the Series C Preferred Stock does not have voting rights. For more information on the Series C Preferred Stock, please refer to the Certificate of Designation, which is incorporated by reference herein and attached as Exhibit 3.1 of our Current Report on Form 8-K, filed with the SEC on May 18,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Required Company Stockholder Matters are approved, it is expected that we will change our name to “IRulya Therapeutics Inc.” and our Common Stock will trade on The Nasdaq Global Select Market under the symbol “IRLA.”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of the Acquisition Agreement, Quince and Orphai Subsidiary entered into stockholder support agreements (the “Support Agreements”) with certain of Quince’s officers and directors (solely in their capacities as stockholders), representing approximately 2.9% of the outstanding shares of Common Stock as of July 29, 2026. The Support Agreements provide that, among other things, each of the parties thereto has agreed to vote or cause to be voted all of the shares of Common Stock owned by such stockholder in favor of the Required Company Stockholder Matters, the approval of the Company’s 2026 Equity Incentive Plan and the Company’s 2026 Employee Stock Purchase Plan at the Stockholder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and in connection with the execution of the Acquisition Agreement, certain officers, directors and certain stockholders of Orphai HoldCo as of immediately prior to the Acquisition, and certain of the directors and officers of Quince as of immediately prior to the Acquisition entered into lock-up agreements (the “Lock-up Agreements”) with Quince and Orphai Subsidiary, pursuant to which each such stockholder will be subject to a lockup on the sale or transfer of shares of Common Stock and Series C Preferred Stock held by each such stockholder, subject to certain limited exceptions as set forth in the Lock-Up Agreements, for a period ending on the Triggering Event. In addition, beginning on the date that is 180 days after the Closing, 5% of the aggregate number of shares held by each such stockholder will be released from the restrictions under the Lock-up Agreements on a monthly basis thereafter.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the Acquisition Transactions, you should refer to our Current Report on Form 8-K filed with the SEC on May 18, 2026, as amended on May 18, 2026 and July 30, 2026, which is incorporated by reference herein.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Reverse 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11, 2026, at the Company’s 2026 Annual Meeting of Stockholders, the Company’s stockholders approved the implementation of a reverse stock split of the Company’s common stock at a ratio ranging from 1-for-10 to 1-for-100, with the specific ratio and timing to be determined by the Board in its sole discretion. The Board subsequently approved a reverse stock split ratio of 1-for-20. On June 26, 2026, the Company filed a Certificate of Amendment to its Amended and Restated Certificate of Incorporation with the Secretary of State of the State of Delaware to effect the Reverse Stock Split, which became effective at 11:59 p.m. Eastern Time on June 29, 2026. The shares of Common Stock began trading on a split-adjusted basis on the Nasdaq Global Select Market upon market open on June 30, 2026 and continue to trade under the ticker symbol “QNCX.”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regarding the Reverse Stock Split, see the Company’s Current Report on Form 8-K filed with the SEC on June 26, 2026, as amended on June 26, 2026, which is incorporated by reference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Reverse Stock Splits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the Company effected a 1-for-20 reverse stock split of its outstanding common stock (the “June Reverse Stock Split”). On April 10, 2026, the Company effected a 1-for-10 reverse stock split of its outstanding common stock (the “April Reverse Stock), collectively, the “Reverse Stock Splits”. As a result of the Reverse Stock Splits, every two-hundred shares (200) shares of our issued and outstanding common stock, par value $0.001, were converted into (1) share of common stock, par value $0.001, reducing the number of issued and outstanding shares of our common stock from approximately 55,725,291 shares, as of December 31, 2025, to approximately 278,627 shares as of June 29, 2026. The Reverse Stock Splits did not alter the par value of the Company’s common stock or modify any voting rights or other terms of the common stock. No fractional shares were issued in connection with the Reverse Stock Splits. Except where the context otherwise requires the share numbers in this prospectus reflect the Reverse Stock Splits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selected financial data has been derived from our audited financial statements included in our Annual Report on Form 10-K filed with the SEC on April 10, 2026 and our unaudited financial statements included in our Quarterly Report on Form 10-Q filed with the SEC on May 11, 2026 as adjusted to reflect the applicable Reverse Stock Splits for all periods presented. Our historical results are not indicative of the results that may be expected in the future and results of interim periods are not indicative of the results for the entire year.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AS REPORTED (in thousands, except share and per share amounts):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3879"/>
        <w:gridCol w:w="531"/>
        <w:gridCol w:w="140"/>
        <w:gridCol w:w="1108"/>
        <w:gridCol w:w="156"/>
        <w:gridCol w:w="531"/>
        <w:gridCol w:w="140"/>
        <w:gridCol w:w="1108"/>
        <w:gridCol w:w="162"/>
      </w:tblGrid>
      <w:tr>
        <w:trPr/>
        <w:tc>
          <w:tcPr>
            <w:tcW w:w="3879"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79"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31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2" w:type="dxa"/>
            <w:tcBorders/>
            <w:vAlign w:val="bottom"/>
          </w:tcPr>
          <w:p>
            <w:pPr>
              <w:pStyle w:val="TableContents"/>
              <w:bidi w:val="0"/>
              <w:spacing w:before="0" w:after="283"/>
              <w:jc w:val="left"/>
              <w:rPr/>
            </w:pPr>
            <w:r>
              <w:rPr/>
              <w:t> </w:t>
            </w:r>
          </w:p>
        </w:tc>
      </w:tr>
      <w:tr>
        <w:trPr/>
        <w:tc>
          <w:tcPr>
            <w:tcW w:w="3879"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3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5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(83,979</w:t>
            </w:r>
          </w:p>
        </w:tc>
        <w:tc>
          <w:tcPr>
            <w:tcW w:w="156"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(56,828</w:t>
            </w:r>
          </w:p>
        </w:tc>
        <w:tc>
          <w:tcPr>
            <w:tcW w:w="162" w:type="dxa"/>
            <w:tcBorders/>
            <w:shd w:fill="CCEEFF" w:val="clear"/>
            <w:vAlign w:val="bottom"/>
          </w:tcPr>
          <w:p>
            <w:pPr>
              <w:pStyle w:val="TableContents"/>
              <w:bidi w:val="0"/>
              <w:spacing w:before="0" w:after="283"/>
              <w:jc w:val="left"/>
              <w:rPr/>
            </w:pPr>
            <w:r>
              <w:rPr/>
              <w:t>) </w:t>
            </w:r>
          </w:p>
        </w:tc>
      </w:tr>
      <w:tr>
        <w:trPr/>
        <w:tc>
          <w:tcPr>
            <w:tcW w:w="387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5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(1.68</w:t>
            </w:r>
          </w:p>
        </w:tc>
        <w:tc>
          <w:tcPr>
            <w:tcW w:w="15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(1.31</w:t>
            </w:r>
          </w:p>
        </w:tc>
        <w:tc>
          <w:tcPr>
            <w:tcW w:w="162" w:type="dxa"/>
            <w:tcBorders/>
            <w:vAlign w:val="bottom"/>
          </w:tcPr>
          <w:p>
            <w:pPr>
              <w:pStyle w:val="TableContents"/>
              <w:bidi w:val="0"/>
              <w:spacing w:before="0" w:after="283"/>
              <w:jc w:val="left"/>
              <w:rPr/>
            </w:pPr>
            <w:r>
              <w:rPr/>
              <w:t>) </w:t>
            </w:r>
          </w:p>
        </w:tc>
      </w:tr>
      <w:tr>
        <w:trPr/>
        <w:tc>
          <w:tcPr>
            <w:tcW w:w="3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w:t>
            </w:r>
          </w:p>
        </w:tc>
        <w:tc>
          <w:tcPr>
            <w:tcW w:w="5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50,096,897</w:t>
            </w:r>
          </w:p>
        </w:tc>
        <w:tc>
          <w:tcPr>
            <w:tcW w:w="156"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43,262,269</w:t>
            </w:r>
          </w:p>
        </w:tc>
        <w:tc>
          <w:tcPr>
            <w:tcW w:w="162" w:type="dxa"/>
            <w:tcBorders/>
            <w:shd w:fill="CCEEFF" w:val="clear"/>
            <w:vAlign w:val="bottom"/>
          </w:tcPr>
          <w:p>
            <w:pPr>
              <w:pStyle w:val="TableContents"/>
              <w:bidi w:val="0"/>
              <w:spacing w:before="0" w:after="283"/>
              <w:jc w:val="left"/>
              <w:rPr/>
            </w:pPr>
            <w:r>
              <w:rPr/>
              <w:t> </w:t>
            </w:r>
          </w:p>
        </w:tc>
      </w:tr>
      <w:tr>
        <w:trPr/>
        <w:tc>
          <w:tcPr>
            <w:tcW w:w="3879"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5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55,725,291</w:t>
            </w:r>
          </w:p>
        </w:tc>
        <w:tc>
          <w:tcPr>
            <w:tcW w:w="15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44,001,643</w:t>
            </w:r>
          </w:p>
        </w:tc>
        <w:tc>
          <w:tcPr>
            <w:tcW w:w="162"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3424"/>
        <w:gridCol w:w="513"/>
        <w:gridCol w:w="171"/>
        <w:gridCol w:w="1354"/>
        <w:gridCol w:w="73"/>
        <w:gridCol w:w="535"/>
        <w:gridCol w:w="171"/>
        <w:gridCol w:w="1355"/>
        <w:gridCol w:w="159"/>
      </w:tblGrid>
      <w:tr>
        <w:trPr/>
        <w:tc>
          <w:tcPr>
            <w:tcW w:w="342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6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342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 basic</w:t>
            </w:r>
          </w:p>
        </w:tc>
        <w:tc>
          <w:tcPr>
            <w:tcW w:w="51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354" w:type="dxa"/>
            <w:tcBorders/>
            <w:shd w:fill="CCEEFF" w:val="clear"/>
            <w:vAlign w:val="bottom"/>
          </w:tcPr>
          <w:p>
            <w:pPr>
              <w:pStyle w:val="TableContents"/>
              <w:bidi w:val="0"/>
              <w:spacing w:before="0" w:after="283"/>
              <w:jc w:val="right"/>
              <w:rPr/>
            </w:pPr>
            <w:r>
              <w:rPr/>
              <w:t>32,794</w:t>
            </w:r>
          </w:p>
        </w:tc>
        <w:tc>
          <w:tcPr>
            <w:tcW w:w="7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(15,030</w:t>
            </w:r>
          </w:p>
        </w:tc>
        <w:tc>
          <w:tcPr>
            <w:tcW w:w="159"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w:t>
            </w:r>
          </w:p>
        </w:tc>
        <w:tc>
          <w:tcPr>
            <w:tcW w:w="51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3.60</w:t>
            </w:r>
          </w:p>
        </w:tc>
        <w:tc>
          <w:tcPr>
            <w:tcW w:w="7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(3.42</w:t>
            </w:r>
          </w:p>
        </w:tc>
        <w:tc>
          <w:tcPr>
            <w:tcW w:w="159"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w:t>
            </w:r>
          </w:p>
        </w:tc>
        <w:tc>
          <w:tcPr>
            <w:tcW w:w="51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9,120,267</w:t>
            </w:r>
          </w:p>
        </w:tc>
        <w:tc>
          <w:tcPr>
            <w:tcW w:w="7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4,394,119</w:t>
            </w:r>
          </w:p>
        </w:tc>
        <w:tc>
          <w:tcPr>
            <w:tcW w:w="159"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 diluted</w:t>
            </w:r>
          </w:p>
        </w:tc>
        <w:tc>
          <w:tcPr>
            <w:tcW w:w="51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354" w:type="dxa"/>
            <w:tcBorders/>
            <w:vAlign w:val="bottom"/>
          </w:tcPr>
          <w:p>
            <w:pPr>
              <w:pStyle w:val="TableContents"/>
              <w:bidi w:val="0"/>
              <w:spacing w:before="0" w:after="283"/>
              <w:jc w:val="right"/>
              <w:rPr/>
            </w:pPr>
            <w:r>
              <w:rPr/>
              <w:t>26,458</w:t>
            </w:r>
          </w:p>
        </w:tc>
        <w:tc>
          <w:tcPr>
            <w:tcW w:w="7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(15,030</w:t>
            </w:r>
          </w:p>
        </w:tc>
        <w:tc>
          <w:tcPr>
            <w:tcW w:w="159"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 diluted</w:t>
            </w:r>
          </w:p>
        </w:tc>
        <w:tc>
          <w:tcPr>
            <w:tcW w:w="51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354" w:type="dxa"/>
            <w:tcBorders/>
            <w:shd w:fill="CCEEFF" w:val="clear"/>
            <w:vAlign w:val="bottom"/>
          </w:tcPr>
          <w:p>
            <w:pPr>
              <w:pStyle w:val="TableContents"/>
              <w:bidi w:val="0"/>
              <w:spacing w:before="0" w:after="283"/>
              <w:jc w:val="right"/>
              <w:rPr/>
            </w:pPr>
            <w:r>
              <w:rPr/>
              <w:t>2.88</w:t>
            </w:r>
          </w:p>
        </w:tc>
        <w:tc>
          <w:tcPr>
            <w:tcW w:w="7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(3.42</w:t>
            </w:r>
          </w:p>
        </w:tc>
        <w:tc>
          <w:tcPr>
            <w:tcW w:w="159" w:type="dxa"/>
            <w:tcBorders/>
            <w:shd w:fill="CCEEFF" w:val="clear"/>
            <w:vAlign w:val="bottom"/>
          </w:tcPr>
          <w:p>
            <w:pPr>
              <w:pStyle w:val="TableContents"/>
              <w:bidi w:val="0"/>
              <w:spacing w:before="0" w:after="283"/>
              <w:jc w:val="left"/>
              <w:rPr/>
            </w:pPr>
            <w:r>
              <w:rPr/>
              <w:t>) </w:t>
            </w:r>
          </w:p>
        </w:tc>
      </w:tr>
      <w:tr>
        <w:trPr/>
        <w:tc>
          <w:tcPr>
            <w:tcW w:w="342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diluted</w:t>
            </w:r>
          </w:p>
        </w:tc>
        <w:tc>
          <w:tcPr>
            <w:tcW w:w="51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4" w:type="dxa"/>
            <w:tcBorders/>
            <w:vAlign w:val="bottom"/>
          </w:tcPr>
          <w:p>
            <w:pPr>
              <w:pStyle w:val="TableContents"/>
              <w:bidi w:val="0"/>
              <w:spacing w:before="0" w:after="283"/>
              <w:jc w:val="right"/>
              <w:rPr/>
            </w:pPr>
            <w:r>
              <w:rPr/>
              <w:t>9,190,354</w:t>
            </w:r>
          </w:p>
        </w:tc>
        <w:tc>
          <w:tcPr>
            <w:tcW w:w="73"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4,394,119</w:t>
            </w:r>
          </w:p>
        </w:tc>
        <w:tc>
          <w:tcPr>
            <w:tcW w:w="159" w:type="dxa"/>
            <w:tcBorders/>
            <w:vAlign w:val="bottom"/>
          </w:tcPr>
          <w:p>
            <w:pPr>
              <w:pStyle w:val="TableContents"/>
              <w:bidi w:val="0"/>
              <w:spacing w:before="0" w:after="283"/>
              <w:jc w:val="left"/>
              <w:rPr/>
            </w:pPr>
            <w:r>
              <w:rPr/>
              <w:t> </w:t>
            </w:r>
          </w:p>
        </w:tc>
      </w:tr>
      <w:tr>
        <w:trPr/>
        <w:tc>
          <w:tcPr>
            <w:tcW w:w="3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51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4" w:type="dxa"/>
            <w:tcBorders/>
            <w:shd w:fill="CCEEFF" w:val="clear"/>
            <w:vAlign w:val="bottom"/>
          </w:tcPr>
          <w:p>
            <w:pPr>
              <w:pStyle w:val="TableContents"/>
              <w:bidi w:val="0"/>
              <w:spacing w:before="0" w:after="283"/>
              <w:jc w:val="right"/>
              <w:rPr/>
            </w:pPr>
            <w:r>
              <w:rPr/>
              <w:t>13,790,794</w:t>
            </w:r>
          </w:p>
        </w:tc>
        <w:tc>
          <w:tcPr>
            <w:tcW w:w="7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44,089,142</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AS ADJUSTED FOR 1-FOR-10 AND 1-FOR-20 REVERSE STOCK SPLIT (unaudited in thousands, except share and per share amounts):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4667"/>
        <w:gridCol w:w="390"/>
        <w:gridCol w:w="146"/>
        <w:gridCol w:w="850"/>
        <w:gridCol w:w="156"/>
        <w:gridCol w:w="390"/>
        <w:gridCol w:w="146"/>
        <w:gridCol w:w="850"/>
        <w:gridCol w:w="160"/>
      </w:tblGrid>
      <w:tr>
        <w:trPr/>
        <w:tc>
          <w:tcPr>
            <w:tcW w:w="4667"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7"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25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6"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0"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(83,979</w:t>
            </w:r>
          </w:p>
        </w:tc>
        <w:tc>
          <w:tcPr>
            <w:tcW w:w="156"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(56,828</w:t>
            </w:r>
          </w:p>
        </w:tc>
        <w:tc>
          <w:tcPr>
            <w:tcW w:w="160" w:type="dxa"/>
            <w:tcBorders/>
            <w:shd w:fill="CCEEFF" w:val="clear"/>
            <w:vAlign w:val="bottom"/>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(335.27</w:t>
            </w:r>
          </w:p>
        </w:tc>
        <w:tc>
          <w:tcPr>
            <w:tcW w:w="156"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(262.71</w:t>
            </w:r>
          </w:p>
        </w:tc>
        <w:tc>
          <w:tcPr>
            <w:tcW w:w="160"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 and diluted</w:t>
            </w:r>
          </w:p>
        </w:tc>
        <w:tc>
          <w:tcPr>
            <w:tcW w:w="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250,485</w:t>
            </w:r>
          </w:p>
        </w:tc>
        <w:tc>
          <w:tcPr>
            <w:tcW w:w="156"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216,312</w:t>
            </w:r>
          </w:p>
        </w:tc>
        <w:tc>
          <w:tcPr>
            <w:tcW w:w="160" w:type="dxa"/>
            <w:tcBorders/>
            <w:shd w:fill="CCEEFF" w:val="clear"/>
            <w:vAlign w:val="bottom"/>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Common shares outstanding at year end</w:t>
            </w:r>
          </w:p>
        </w:tc>
        <w:tc>
          <w:tcPr>
            <w:tcW w:w="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278,627</w:t>
            </w:r>
          </w:p>
        </w:tc>
        <w:tc>
          <w:tcPr>
            <w:tcW w:w="156"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220,009</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AS ADJUSTED FOR 1-FOR-20 REVERSE STOCK SPLIT (unaudited in thousands, except share and per share amounts):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3508"/>
        <w:gridCol w:w="471"/>
        <w:gridCol w:w="203"/>
        <w:gridCol w:w="1178"/>
        <w:gridCol w:w="87"/>
        <w:gridCol w:w="514"/>
        <w:gridCol w:w="203"/>
        <w:gridCol w:w="1431"/>
        <w:gridCol w:w="160"/>
      </w:tblGrid>
      <w:tr>
        <w:trPr/>
        <w:tc>
          <w:tcPr>
            <w:tcW w:w="3508"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8"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36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87"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6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2025(1)  </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 basic</w:t>
            </w:r>
          </w:p>
        </w:tc>
        <w:tc>
          <w:tcPr>
            <w:tcW w:w="47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32,794</w:t>
            </w:r>
          </w:p>
        </w:tc>
        <w:tc>
          <w:tcPr>
            <w:tcW w:w="87"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(15,030</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 basic</w:t>
            </w:r>
          </w:p>
        </w:tc>
        <w:tc>
          <w:tcPr>
            <w:tcW w:w="47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71.91</w:t>
            </w:r>
          </w:p>
        </w:tc>
        <w:tc>
          <w:tcPr>
            <w:tcW w:w="87"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431" w:type="dxa"/>
            <w:tcBorders/>
            <w:vAlign w:val="bottom"/>
          </w:tcPr>
          <w:p>
            <w:pPr>
              <w:pStyle w:val="TableContents"/>
              <w:bidi w:val="0"/>
              <w:spacing w:before="0" w:after="283"/>
              <w:jc w:val="right"/>
              <w:rPr/>
            </w:pPr>
            <w:r>
              <w:rPr/>
              <w:t>(68.41</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basic</w:t>
            </w:r>
          </w:p>
        </w:tc>
        <w:tc>
          <w:tcPr>
            <w:tcW w:w="47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456,014</w:t>
            </w:r>
          </w:p>
        </w:tc>
        <w:tc>
          <w:tcPr>
            <w:tcW w:w="87"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219,706</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 diluted</w:t>
            </w:r>
          </w:p>
        </w:tc>
        <w:tc>
          <w:tcPr>
            <w:tcW w:w="47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26,458</w:t>
            </w:r>
          </w:p>
        </w:tc>
        <w:tc>
          <w:tcPr>
            <w:tcW w:w="87"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431" w:type="dxa"/>
            <w:tcBorders/>
            <w:vAlign w:val="bottom"/>
          </w:tcPr>
          <w:p>
            <w:pPr>
              <w:pStyle w:val="TableContents"/>
              <w:bidi w:val="0"/>
              <w:spacing w:before="0" w:after="283"/>
              <w:jc w:val="right"/>
              <w:rPr/>
            </w:pPr>
            <w:r>
              <w:rPr/>
              <w:t>(15,030</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 diluted</w:t>
            </w:r>
          </w:p>
        </w:tc>
        <w:tc>
          <w:tcPr>
            <w:tcW w:w="47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57.58</w:t>
            </w:r>
          </w:p>
        </w:tc>
        <w:tc>
          <w:tcPr>
            <w:tcW w:w="87"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(68.41</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of common stock outstanding - diluted</w:t>
            </w:r>
          </w:p>
        </w:tc>
        <w:tc>
          <w:tcPr>
            <w:tcW w:w="47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459,518</w:t>
            </w:r>
          </w:p>
        </w:tc>
        <w:tc>
          <w:tcPr>
            <w:tcW w:w="87"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219,706</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 at period end</w:t>
            </w:r>
          </w:p>
        </w:tc>
        <w:tc>
          <w:tcPr>
            <w:tcW w:w="47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689,540</w:t>
            </w:r>
          </w:p>
        </w:tc>
        <w:tc>
          <w:tcPr>
            <w:tcW w:w="87"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2,204,458</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as Cortexyme, Inc. in Delaware on June 20, 2012. In August 2022, we changed our name to Quince Therapeutics, Inc. Our principal executive offices are located at 611 Gateway Blvd., Suite 273, South San Francisco, California 94080. Our telephone number at that location is (415) 910-5717. Our corporate website address is www.quincetx.com. References to our website address do not constitute incorporation by reference of the information contained on the website, and the information contained on the website is not part of this document.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Exchange Act. We may take advantage of certain of the scaled disclosures available to smaller reporting companies, including not being required to comply with the auditor attestation requirements of Section 404 of the Sarbanes-Oxley Act of 2002 and reduced disclosure obligations regarding executive compensation. We will be able to take advantage of these scaled disclosures for so long as the market value of our Common Stock held by non-affiliates is less than $250.0 million measured on the last business day of our second fiscal quarter, or our annual revenue is less than $100.0 million during the most recently completed fiscal year and the market value of our Common Stock held by non-affiliates is less than $700.0 million measured on the last business day of our second fiscal quarter. As a result, the information in or incorporated by reference into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Up to an aggregate of 15,470,099 shares of Common Stock, which consist of (i) 162,971 Acquisition Shares, (ii) 3,489,281 Acquisition Conversion Shares, (iii) 7,498,447 Private Placement Conversion Shares, (iv) 570,169 Acquisition Warrant Conversion Shares and (v) 3,749,231 Private Placement Warrant Conversion Shares, in each case, after giving effect to the Reverse Stock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the offering </w:t>
            </w:r>
          </w:p>
        </w:tc>
        <w:tc>
          <w:tcPr>
            <w:tcW w:w="6327" w:type="dxa"/>
            <w:tcBorders/>
          </w:tcPr>
          <w:p>
            <w:pPr>
              <w:pStyle w:val="TableContents"/>
              <w:bidi w:val="0"/>
              <w:spacing w:before="0" w:after="283"/>
              <w:jc w:val="left"/>
              <w:rPr/>
            </w:pPr>
            <w:r>
              <w:rPr/>
              <w:t xml:space="preserve">Each selling stockholder will determine when and how it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the Resale Shares. If the Warrants are exercised for cash, we will, however, receive the net proceeds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See “Risk Factors” on page 9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7" w:type="dxa"/>
            <w:tcBorders/>
          </w:tcPr>
          <w:p>
            <w:pPr>
              <w:pStyle w:val="TableContents"/>
              <w:bidi w:val="0"/>
              <w:spacing w:before="0" w:after="283"/>
              <w:jc w:val="left"/>
              <w:rPr/>
            </w:pPr>
            <w:r>
              <w:rPr/>
              <w:t>“</w:t>
            </w:r>
            <w:r>
              <w:rPr/>
              <w:t xml:space="preserve">QNCX”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67417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titled “Cautionary Statement Concerning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67417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are not selling any securities under this prospectus and we will not receive any proceeds from the sale of the Resale Shares covered hereby. The net proceeds from the sale of the Resale Shares offered by this prospectus will be received by the Selling Stockholders. If the Warrants are exercised for cash, we will, however, receive the net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67417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resale or other disposition from time to time by the Selling Stockholders identified in the table below of up to an aggregate of 15,470,099 shares of Common Stock, which consist of (i) 162,971 Acquisition Shares, (ii) 3,489,281 Acquisition Conversion Shares, (iii) 7,498,447 Private Placement Conversion Shares, (iv) 570,169 Acquisition Warrant Conversion Shares and (v) 3,749,231 Private Placement Warrant Conversion Shares, in each case, after giving effect to the Reverse Stock Split, including any resulting fractional shares. The Selling Stockholders may from time to time offer and sell any or all of the Resale Shares set forth below pursuant to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 May 18, 2026, we entered into the Purchase Agreement, pursuant to which we sold an aggregate of 144,200.633 shares of Series C Preferred Stock, which are convertible into 7,498,447 shares of Common Stock following the approval of the Required Company Stockholder Matters, subject to certain beneficial ownership limitations and after giving effect to the Reverse Stock Split, at an aggregate purchase price of approximately $115 million. In addition, in connection with the 2026 Private Placement, we issued to the Investors Financing Warrants to purchase an aggregate of 72,100.322 shares of Series C Preferred Stock (representing 3,749,231 shares of Common Stock on an as-converted-to-common basis, after giving effect to the Reverse Stock Split and without giving effect to any beneficial ownership limitations), which will be exercisable following the approval of the Required Company Stockholder Matters, subject to certain beneficial ownership limitations. Also on May 18, 2026, we completed our Acquisition of Orphai Therapeutics in accordance with the Acquisition Agreement, pursuant to which we issued an aggregate of (i) 162,971 shares of Common Stock (after giving effect to the Reverse Stock Split) and (ii) 67,101.235 shares of Series C Preferred Stock, which are convertible into 3,489,281 shares of Common Stock following the approval of the Required Company Stockholder Matters, subject to certain beneficial ownership limitations and after giving effect to the Reverse Stock Split, and the outstanding warrants to purchase shares of Orphai HoldCo capital stock were exchanged for Acquisition Warrants to purchase an aggregate of 10,964.505 shares of Series C Preferred Stock (representing 570,169 shares of Common Stock on an as-converted-to-common basis, after giving effect to the Reverse Stock Split and without giving effect to any beneficial ownership limitations).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herein, the Selling Stockholders do not have, and within the past three years have not had, any material position, office or other material relationship with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except for the Lock-Up Agreements. The Resale Shares covered hereby may be offered from time to time by the Selling Stockholders, provided that Resale Shares issued upon conversion of Series C Preferred Stock may only be offered after such shares of Series C Preferred Stock are converted to Common Stock pursuant to the terms of the Certificate of Designation, and Resale Shares issuable upon exercise of the Warrants may only be offered upon exercise of such Warrants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below is based upon information obtained from the Selling Stockholders and upon information in our possession regarding the issuance of the Series C Preferred Stock and the Warrants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Acquisition Transactions. The percentages of Common Stock owned after the offering by each Selling Stockholder below are based on 1,017,063 shares of Common Stock outstanding as of June 30, 2026, and, for each Selling Stockholder, assumes the conversion of only the Series C Preferred Stock owned by such Selling Stockholder but not the Series C Preferred Stock owned by any other Selling Stockholder and assumes the exercise of the Warrants only for the Selling Stockholder who holds such Warrants.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4"/>
        <w:gridCol w:w="176"/>
        <w:gridCol w:w="68"/>
        <w:gridCol w:w="1160"/>
        <w:gridCol w:w="60"/>
        <w:gridCol w:w="176"/>
        <w:gridCol w:w="69"/>
        <w:gridCol w:w="1244"/>
        <w:gridCol w:w="60"/>
        <w:gridCol w:w="176"/>
        <w:gridCol w:w="70"/>
        <w:gridCol w:w="847"/>
        <w:gridCol w:w="60"/>
        <w:gridCol w:w="176"/>
        <w:gridCol w:w="137"/>
        <w:gridCol w:w="1059"/>
        <w:gridCol w:w="283"/>
      </w:tblGrid>
      <w:tr>
        <w:trPr/>
        <w:tc>
          <w:tcPr>
            <w:tcW w:w="438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Stockholders(1)</w:t>
            </w:r>
          </w:p>
        </w:tc>
        <w:tc>
          <w:tcPr>
            <w:tcW w:w="176"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 Be</w:t>
              <w:br/>
              <w:t>Offered</w:t>
              <w:br/>
              <w:t>Pursuant to</w:t>
              <w:br/>
              <w:t>Prospectus(2)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w:t>
              <w:br/>
              <w:t>Owned After</w:t>
              <w:br/>
              <w:t>Offering(2)</w:t>
            </w:r>
          </w:p>
        </w:tc>
        <w:tc>
          <w:tcPr>
            <w:tcW w:w="28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Access Industries Holdings LLC (3)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8,129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8,129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AEF Plus Privates Fund, LLC (4)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15,686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15,686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Affinity Healthcare Fund, LP (5)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586,835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586,835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Alexander C. Magary (6)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122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122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Allen Wiesenfeld (7)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31,820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31,819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Arjun Gopalakrishnan (8)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13,631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13,631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Atlas Private Holdings (Cayman) Ltd. (9)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1,075,863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1,075,863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Atlas Private Holdings VIII, LLC (10)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488,687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488,687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Ausangate Capital Fund, LP (11)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19,562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19,562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Blind Trust in Relation to the Assets of Mr. Richard Simon Sharp (12)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2,659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2,659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Carlo Spirli and Maddalena Lolaico, as Joint Tenants with Right of Survivorship (13)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Carlos Dedesma and Ronit Dedesma, as Joint Tenants with Right of Survivorship (14)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CD-Venture GmbH (15)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156,368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156,368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Chen Jinxia (16)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8,028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8,028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Conrad and Cintia Conrad, as Joint Tenants with Right of Survivorship (17)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Coastlands Capital Partners LP (18)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978,057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978,057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Aryeh Davis (19)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44,288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14,583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29,705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2.92</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Dana Dunn (20)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415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260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Darlene Allen (21)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DA-VISION Fund No6 (22)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5,379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5,379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Ferrucci (23)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167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167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Donald J. Kellerman (24)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Elizabeth A. Whayland (25)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469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469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Boothbay Fund Management, LLC (26)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217,184</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198,978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18,206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1.79</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 Asset Management, LP (27)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1,062,924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1,062,924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 Management, LLC (28)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978,059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978,059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 US LLC (29)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2,530,005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2,530,005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Jeffrey Samberg (30)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1,053,801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1,024,211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29,590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2.91</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Joseph Samberg (31)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202,350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172,760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29,590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2.91</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Jonathan M. Rothberg (32)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121,615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121,615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LSS Private Equity Co., Ltd. (33)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420,922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420,922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Michael J. Rothberg (34)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19,593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19,593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84"/>
        <w:gridCol w:w="176"/>
        <w:gridCol w:w="68"/>
        <w:gridCol w:w="1160"/>
        <w:gridCol w:w="60"/>
        <w:gridCol w:w="176"/>
        <w:gridCol w:w="69"/>
        <w:gridCol w:w="1244"/>
        <w:gridCol w:w="60"/>
        <w:gridCol w:w="176"/>
        <w:gridCol w:w="70"/>
        <w:gridCol w:w="847"/>
        <w:gridCol w:w="60"/>
        <w:gridCol w:w="176"/>
        <w:gridCol w:w="137"/>
        <w:gridCol w:w="1059"/>
        <w:gridCol w:w="283"/>
      </w:tblGrid>
      <w:tr>
        <w:trPr/>
        <w:tc>
          <w:tcPr>
            <w:tcW w:w="438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Stockholders(1)</w:t>
            </w:r>
          </w:p>
        </w:tc>
        <w:tc>
          <w:tcPr>
            <w:tcW w:w="176"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 Be</w:t>
              <w:br/>
              <w:t>Offered</w:t>
              <w:br/>
              <w:t>Pursuant to</w:t>
              <w:br/>
              <w:t>Prospectus(2)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w:t>
              <w:br/>
              <w:t>Owned After</w:t>
              <w:br/>
              <w:t>Offering(2)</w:t>
            </w:r>
          </w:p>
        </w:tc>
        <w:tc>
          <w:tcPr>
            <w:tcW w:w="283" w:type="dxa"/>
            <w:tcBorders/>
            <w:vAlign w:val="bottom"/>
          </w:tcPr>
          <w:p>
            <w:pPr>
              <w:pStyle w:val="TableContents"/>
              <w:bidi w:val="0"/>
              <w:spacing w:before="0" w:after="283"/>
              <w:jc w:val="left"/>
              <w:rPr/>
            </w:pPr>
            <w:r>
              <w:rPr/>
              <w:t> </w:t>
            </w:r>
          </w:p>
        </w:tc>
      </w:tr>
      <w:tr>
        <w:trPr/>
        <w:tc>
          <w:tcPr>
            <w:tcW w:w="438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Mintz, Levin, Cohn, Ferris, Glovsky and Popeo, P.C. (35)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13,777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13,777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SilverArc Capital Management, LLC (36)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880,255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880,255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Eventide Healthcare Innovation Fund I LP (37)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489,029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489,029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Feixiang Holdings Private Limited (38)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10,838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10,838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Institutional Capital Holdings SPV (39)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33,054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33,054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Gregg Fergus (40)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3,035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3,035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Guilford Asia Association No.1 (41)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16,547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16,547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Henri Lichenstein (42)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4,335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4,335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Heribert Staudinger and Sakura K. Staudinger, as Joint Tenants with Right of Survivorship (43)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Ikarian Healthcare Master Fund, LP (44)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616,119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574,987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41,132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4.04</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Joel Bader (45)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Joel T. Dudley and Michelle Y. Dudley, as Joint Tenants with Right of Survivorship (46)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Judith B. Secki and Louis J. Secki, Jr., as Joint Tenants with Right of Survivorship (47)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KCLAVIS-Next Bio Fund No.5 (48)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97,200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97,200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Liberty Bell Investment Corp. (49)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26,841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26,841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LifeSci Venture Master, LLC (50)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464,577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464,577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Linda Hackett (51)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Lin-Lin Zhou (52)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2,608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2,608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Logos Opportunities Fund V LP (53)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489,029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489,029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Lynn Breiling (54)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Michele Nilson and John Peter Nilson, as Joint Tenants with Right of Survivorship (55)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Ming Zhou Lin (56)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2,608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2,608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MOCA Ventures Inc. (57)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6,435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6,435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Murat Gunel (58)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50,103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32,766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17,337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1.70</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Beeharry and Christina Frets, as Joint Tenants with Right of Survivorship (59)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Neil Shaw (60)</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24,452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24,452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Nomadic Ventures LLC (61)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Perceptive Life Sciences Master Fund, Ltd. (62)</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1,369,280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1,369,280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Persistent Asset Global Select Fund SPC – Persistent Asset X Segregated Portfolio (63)</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17,553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17,553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Rachael P. Klotzberger and David R. Klotzberger, as Joint Tenants with Right of Survivorship (64)</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Canterbury Buford (65)</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Robert McNamee (66)</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Sabrina Rashid (67)</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4384" w:type="dxa"/>
            <w:tcBorders/>
          </w:tcPr>
          <w:p>
            <w:pPr>
              <w:pStyle w:val="TableContents"/>
              <w:bidi w:val="0"/>
              <w:spacing w:before="0" w:after="0"/>
              <w:jc w:val="left"/>
              <w:rPr>
                <w:rFonts w:ascii="Times New Roman" w:hAnsi="Times New Roman"/>
                <w:sz w:val="20"/>
              </w:rPr>
            </w:pPr>
            <w:r>
              <w:rPr>
                <w:rFonts w:ascii="Times New Roman" w:hAnsi="Times New Roman"/>
                <w:sz w:val="20"/>
              </w:rPr>
              <w:t>Sangmin Hong (68)</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4,853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4,853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43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Sean Francis Landrette (69)</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446"/>
        <w:gridCol w:w="254"/>
        <w:gridCol w:w="83"/>
        <w:gridCol w:w="1107"/>
        <w:gridCol w:w="60"/>
        <w:gridCol w:w="254"/>
        <w:gridCol w:w="84"/>
        <w:gridCol w:w="1157"/>
        <w:gridCol w:w="60"/>
        <w:gridCol w:w="254"/>
        <w:gridCol w:w="118"/>
        <w:gridCol w:w="767"/>
        <w:gridCol w:w="67"/>
        <w:gridCol w:w="267"/>
        <w:gridCol w:w="153"/>
        <w:gridCol w:w="1007"/>
        <w:gridCol w:w="67"/>
      </w:tblGrid>
      <w:tr>
        <w:trPr/>
        <w:tc>
          <w:tcPr>
            <w:tcW w:w="4446"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Stockholders(1)</w:t>
            </w:r>
          </w:p>
        </w:tc>
        <w:tc>
          <w:tcPr>
            <w:tcW w:w="254"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br/>
              <w:t>Beneficially</w:t>
              <w:br/>
              <w:t>Owned</w:t>
              <w:br/>
              <w:t>Before</w:t>
              <w:br/>
              <w:t>Offering(2)</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 that</w:t>
              <w:br/>
              <w:t>May Be</w:t>
              <w:br/>
              <w:t>Offered</w:t>
              <w:br/>
              <w:t>Pursuant to</w:t>
              <w:br/>
              <w:t>Prospectus(2)</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3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br/>
              <w:t>Beneficially</w:t>
              <w:br/>
              <w:t>Owned After</w:t>
              <w:br/>
              <w:t>Offering(2)</w:t>
            </w:r>
          </w:p>
        </w:tc>
        <w:tc>
          <w:tcPr>
            <w:tcW w:w="67"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Selig Sacks (70)</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2,161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2,161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Seligman Healthcare Spectrum (Master) Fund (71)</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275,865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275,865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Shenzhen Sangel Jing Rui Venture Capital (Limited Partnership) (72)</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3,208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3,208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SIP Sungent BioVenture Venture Capital Investment Partnership (LP) (73)</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2,608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2,608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SK Securities, Inc. (74)</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32,439</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32,439</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Sophia Gayle (75)</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260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260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Stichting NUNC (76)</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2,588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2,588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The Liang Living Trust (77)</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652</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652</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A. Armer (78)</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Tian Xu (79)</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3,468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3,468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 Under Beverly K. Fergus Revocable Trust, dated February 24, 2014, as amended or restated (80)</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434</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434</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Vikram Khanna (81)</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12,977</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12,977</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Wesley Conard and Carly Braak, as Joint Tenants with Right of Survivorship (82)</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Wolf, Greenfield &amp; Sacks Investment Trust, LLC (83)</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23,018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23,018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Woodline Master Fund LP (84)</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489,029</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489,029</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Xiphos Bio LLC (85)</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38,395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38,395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YH North America Capital L.P. (86)</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24,284</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24,284</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Youngsung Ji (87)</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25,943</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25,943</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Ziwang Xu (88)</w:t>
            </w:r>
          </w:p>
        </w:tc>
        <w:tc>
          <w:tcPr>
            <w:tcW w:w="2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1,956</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1,956</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Jeffrey Samberg, Joseph Samberg, Rebecca P. Samberg, Laura J. Samberg Faino, and Aryeh Davis (89)</w:t>
            </w:r>
          </w:p>
        </w:tc>
        <w:tc>
          <w:tcPr>
            <w:tcW w:w="2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29,590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29,590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our knowledge, unless otherwise indicated, all persons named in the table above have sole voting and investment power with respect to their shares of Common Stock. Unless an address is provided below, the address for the holder is 611 Gateway Blvd., Suite 273, South San Francisco, California 94080.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pPr>
            <w:r>
              <w:rPr/>
              <w:t>“</w:t>
            </w:r>
            <w:r>
              <w:rPr>
                <w:rFonts w:ascii="Times New Roman" w:hAnsi="Times New Roman"/>
                <w:sz w:val="20"/>
              </w:rPr>
              <w:t xml:space="preserve">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C Preferred Stock or a Warrant is prohibited from converting shares of Series C Preferred into shares of Common Stock or exercising such Warrant for Common Stock, as applicable, (i) prior to the approval of the Required Company Stockholder Matters or (ii) if, as a result of such conversion or exercise, as applicable, such holder, together with its affiliates, would beneficially own more than a specified percentage (established by the holder between 4.99% and 19.99%) (the “Beneficial Ownership Limitation”) of the total number of shares of Common Stock issued and outstanding immediately after giving effect to such conversion or exercise, as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160 Acquisition Shares and 7,969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Shares. The address of Access Industries Holdings LLC is c/o Access Industries, Inc., 40 West 57th Street, 28th Floor, New York, NY 10019. Such securities may be deemed to be beneficially owned by Access Industries, LLC (“AI”), Access Industries Management, LLC (“AIM”), and Mr. Len Blavatnik because AI controls a majority of the outstanding voting interests in AIH, AIM controls AI and AIH, and Mr. Blavatnik is the controlling person of AIM and controls a majority of the outstanding voting interests in AI.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228 Acquisition Shares, 11,402 Acquisition Conversion Shares, and 4,056 Acquisition Warrant Conversion Shares. Balyasny Asset Management L.P. is the investment adviser of AEF Plus Privates Fund, LLC. Dmitry Balyasny, via intermediate entities, manages Balyasny Asset Management L.P. and has voting and investment control over the reported securities. The address of AEF Plus Privates Fund, LLC is 444 West Lake Street, 50th Floor, Chicago, IL 60606.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391,223 Private Placement Conversion Shares and 195,612 Private Placement Warrant Conversion Shares. The address of Affinity Healthcare Fund, LP is 450 Park Avenue, Suite 1403,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122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464 Acquisition Shares, 23,204 Acquisition Conversion Shares, 8,151 Acquisition Warrant Conversion Shares, and 1 share of Common Stock purchased in the open market. The shares reported under “Common Stock That May Be Offered Pursuant to Prospectus” consist of 464 Acquisition Shares, 23,204 Acquisition Conversion Shares, and 8,151 Acquisition Warrant Conversion Shares. The shares reported under “Common Stock Beneficially Owned After Offering” consist of 1 share of Common Stock purchased in the open market.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2,834 Acquisition Shares, 1,015 Acquisition Warrant Conversion Shares, 6,521 Private Placement Conversion Shares, and 3,261 Private Placement Warrant Conversion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717,242 Private Placement Conversion Shares and 358,621 Private Placement Warrant Conversion Shares. Balyasny Asset Management L.P. is the investment adviser of Atlas Private Holdings (Cayman) Ltd. Dmitry Balyasny, via intermediate entities, manages Balyasny Asset Management L.P. and has voting and investment control over the reported securities. The address of Atlas Private Holdings (Cayman) Ltd. is 444 West Lake Street, 50th Floor, Chicago, IL 60606.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7,103 Acquisition Shares, 355,231 Acquisition Conversion Shares, and 126,353 Acquisition Warrant Conversion Shares. Balyasny Asset Management L.P. is the investment adviser of Atlas Private Holdings VIII, LLC. Dmitry Balyasny, via intermediate entities, manages Balyasny Asset Management L.P. and has voting and investment control over the reported securities. The address of Atlas Private Holdings VIII, LLC is 444 West Lake Street, 50th Floor, Chicago, IL 60606.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13,041 Private Placement Conversion Shares and 6,521 Private Placement Warrant Conversion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2,659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55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49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2,726 Acquisition Shares, 136,358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Shares, and 17,284 Acquisition Warrant Conversion Shares. The address of CD-Venture GmbH is Bergheimer Strasse 45, 69115 Heidelberg, Germany.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107 Acquisition Shares and 5,313 Acquisition Conversion Shares held by Chen Jinxia and (ii) 2,608 Acquisition Shares held by Shanghai Yongtong Investment Limited Partnership. Chen Jinxia may be deemed to have voting and investment power over the securities held by Shanghai Yongtong Investment Limited Partnership.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120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652,038 Private Placement Conversion Shares and 326,019 Private Placement Warrant Conversion Shares. Coastlands Capital LP is the investment adviser to Coastlands Capital Partners LP (“Coastlands Capital”), and Coastlands Capital GP LLC (“Coastlands GP”) is the general partner of Coastlands Capital. Coastlands Capital LLC (the “General Partner”, and together with Coastlands Capital, Coastlands Capital LP and Coastlands GP, the “Coastlands Entities”) is the general partner of Coastlands Capital LP. Matthew D. Perry is the control person of the Coastlands Entities. The Coastlands Entities and Mr. Perry each disclaim membership in a group and beneficial ownership of the shares of Common Stock except to the extent of their respective pecuniary interests therein. The address and principal office of the Coastlands Entities and Mr. Perry is 601 California St., Suite 1210, San Francisco, CA 94108.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(i) 4,664 Acquisition Shares, 137 Acquisition Warrant Conversion Shares, 6,521 Private Placement Conversion Shares, 3,261 Private Placement Warrant Conversion Shares, and 115 shares of Common Stock purchased in the open market, (ii) 145 Acquisition Shares and 7,231 Acquisition Conversion Shares held by The Rebecca P. Samberg 2018 Revocable Trust dated March 26, 2018, and (iii) 436 Acquisition Shares and 21,778 Acquisition Conversion Shares held by The Samberg Family Foundation, Inc. The shares reported under “Common Stock That May Be Offered Pursuant to Prospectus” consist of 4,664 Acquisition Shares, 137 Acquisition Warrant Conversion Shares, 6,521 Private Placement Conversion Shares, and 3,261 Private Placement Warrant Conversion Shares referred to in clause (i) above. The shares reported under “Common Stock Beneficially Owned After Offering” consist of the 115 shares of Common Stock purchased in the open market referred to in clause (i) above and the shares referred to in clauses (ii) and (iii) above. Copperbeech Partners, LLC is the record holder of the shares described in clause (i) above. Aryeh Davis, as manager of Copperbeech Partners, LLC, has voting and dispositive power over the shares held by Copperbeech Partners, LLC and therefore may be deemed to beneficially own such shares. Mr. Davis disclaims beneficial ownership of such shares except to the extent of his pecuniary interest therein. Mr. Davis also serves as a co-trustee of The Rebecca P. Samberg 2018 Revocable Trust dated March 26, 2018 referred to in clause (ii) above and as a director of The Samberg Family Foundation, Inc. referred to in clause (iii) above, each a Selling Stockholder named elsewhere in this table, and in such capacities may be deemed to share voting and dispositive power over the shares held by such entities. Mr. Davis disclaims beneficial ownership of such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260 Acquisition Shares and 155 shares of Common Stock issuable upon the exercise of stock options exercisable within 60 days of July 30, 2026. The shares reported under “Common Stock That May Be Offered Pursuant to Prospectus” consist of 260 Acquisition Shares. The shares reported under “Common Stock Beneficially Owned After Offering” consist of 155 shares of Common Stock issuable upon the exercise of stock options exercisable within 60 days of July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4 Acquisition Shares held by Darlene Allen and (ii) 29 Acquisition Shares held by Darlene Allen and Robert Allen, as Joint Tenants with Right of Survivorship.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106 Acquisition Shares and 5,273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Conversion Shares. The address of DA-VISION Fund No6 is c/o Gravity Ventures, 3rd Floor, 728 Yeoksam-dong, Gangnam-gu, Seoul, Republic of Korea 06224.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167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21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174 Acquisition Shares held by Elizabeth A. Whayland and (ii) 295 Acquisition Shares held by Elizabeth A. Whayland and Gregory T. Mulhern, as Joint Tenants with Right of Survivorship. Elizabeth A. Whayland and Gregory T. Mulhern each share voting and investment power over Elizabeth A. Whayland and Gregory T. Mulhern, as Joint Tenants with Right of Survivorship and may each be deemed to beneficially own such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(i) 5,543 Acquisition Shares, 89,312 Acquisition Conversion Shares, 26,964 Acquisition Warrant Conversion Shares, 14,854 Private Placement Conversion Shares, 7,427 Private Placement Warrant Conversion Shares, and 13,688 shares of Common Stock purchased in the open market held by Boothbay Absolute Return Strategies, LP (“BBARS”) and (ii) 12,450 Acquisition Shares, 25,580 Acquisition Conversion Shares, 9,492 Acquisition Warrant Conversion Shares, 4,904 Private Placement Conversion Shares, 2,452 Private Placement Warrant Conversion Shares, and 4,518 shares of Common Stock purchased in the open market held by Boothbay Diversified Alpha Master Fund LP (“BBDAMF”). The shares reported under “Common Stock That May Be Offered Pursuant to Prospectus” consist of (i) 5,543 Acquisition Shares, 89,312 Acquisition Conversion Shares, 26,964 Acquisition Warrant Conversion Shares, 14,854 Private Placement Conversion Shares, and 7,427 Private Placement Warrant Conversion Shares held by BBARS and (ii) 12,450 Acquisition Shares, 25,580 Acquisition Conversion Shares, 9,492 Acquisition Warrant Conversion Shares, 4,904 Private Placement Conversion Shares, and 2,452 Private Placement Warrant Conversion Shares held by BBDAMF. The shares reported under “Common Stock Beneficially Owned After Offering” consist of 13,688 shares of Common Stock purchased in the open market held by BBARS and 4,518 shares of Common Stock purchased in the open market held by BBDAMF. Boothbay Fund Management, LLC (“Boothbay”) manages multi-manager fund vehicles, BBARS and BBDAMF. Boothbay, in its capacity as the investment manager of BBARS and BBDAMF, has appointed Ikarian Capital, LLC (“Ikarian”) as a sub-advisor with shared voting and dispositive power over a portion of the securities held by BBARS and BBDAMF. Neil Shahrestani is the sole manager and a member of Ikarian and, in such capacities, may be deemed to share voting and dispositive power over such securities. The business address of BBARS and BBDAMF is 140 East 45th Street, 16th Floor, New York, NY 10017.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2,184 Acquisition Shares, 109,221 Acquisition Conversion Shares, 38,849 Acquisition Warrant Conversion Shares, 181,202 Private Placement Conversion Shares, and 90,601 Private Placement Warrant Conversion Shares held by Cormorant Global Healthcare Master Fund, LP (“Cormorant Global”) and (ii) 3,314 Acquisition Shares, 165,756 Acquisition Conversion Shares, 58,958 Acquisition Warrant Conversion Shares, 275,226 Private Placement Conversion Shares, and 137,613 Private Placement Warrant Conversion Shares held by Cormorant Private Healthcare Fund VI, LP (“Cormorant Private VI”). Cormorant Asset Management, LP serves as the investment manager for Cormorant Global and Cormorant Private VI. Bihua Chen is the managing member of Cormorant Global Healthcare GP, LLC, the sole general partner of Cormorant Global, and may be deemed to have sole voting and investment power over the securities held by Cormorant Global and Cormorant Private VI. Each of Cormorant Asset Management, LP and Ms. Chen disclaims beneficial ownership of these shares except to the extent of any pecuniary interest therein. The business address of Cormorant Global and Cormorant Private VI is 200 Clarendon Street, 50th Floor, Boston, MA 02116.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489,029 Private Placement Conversion Shares and 244,515 Private Placement Warrant Conversion Shares held by Foresite Capital Fund VI LP (“Foresite Fund VI”) and (ii) 163,010 Private Placement Conversion Shares and 81,505 Private Placement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Shares held by Foresite Public &amp; Crossover Opportunities Fund I, L.P. (“Foresite Crossover”). The address of Foresite Fund VI and Foresite Crossover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5,497 Acquisition Shares, 274,976 Acquisition Conversion Shares, 97,806 Acquisition Warrant Conversion Shares, 1,178,134 Private Placement Conversion Shares, and 589,067 Private Placement Warrant Conversion Shares held by Janus Henderson Biotech Innovation Master Fund Limited (the “Janus Fund”) and (ii) 256,350 Private Placement Conversion Shares and 128,175 Private Placement Warrant Conversion Shares held by Janus Henderson Biotech Innovation Master Fund II Limited (the “Janus Fund II”, together with Janus Fund, the “Funds”). Such Shares may be deemed to be beneficially owned by Janus Henderson Investors US LLC (“Janus”), an investment adviser registered under the Investment Advisers Act of 1940, who acts as investment adviser for the Funds and has the ability to make decisions with respect to the voting and disposition of the shares subject to the oversight of the board of directors of the Funds. Under the terms of its management contract with the Funds, Janus has overall responsibility for directing the investments of the Funds in accordance with the Funds’ investment objective, policies and limitations. The Funds have one or more portfolio managers appointed by and serving at the pleasure of Janus who makes decisions with respect to the disposition of the shares offered hereby. The address for Janus is 151 Detroit Street, Denver, CO 80206. The portfolio managers for the Funds are: Andrew Acker, Daniel S. Lyons and Agustin Mohedas.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(i) 14,380 Acquisition Shares, 719,403 Acquisition Conversion Shares, 38,555 Acquisition Warrant Conversion Shares, 57,380 Private Placement Conversion Shares, and 28,690 Private Placement Warrant Conversion Shares held by Acadia Woods Partners, LLC, (ii) 1,891 Acquisition Shares, 94,583 Acquisition Conversion Shares, 15,339 Acquisition Warrant Conversion Shares, 35,993 Private Placement Conversion Shares, and 17,997 Private Placement Warrant Conversion Shares held by Jeffrey S. Samberg Amended &amp; Restated Revocable Trust, (iii) 145 Acquisition Shares and 7,231 Acquisition Conversion Shares held by The Rebecca P. Samberg 2018 Revocable Trust dated March 26, 2018, and (iv) 436 Acquisition Shares and 21,778 Acquisition Conversion Shares held by The Samberg Family Foundation, Inc. The shares reported under “Common Stock That May Be Offered Pursuant to Prospectus” consist of the aggregate Resale Shares set forth in (i) and (ii) above. Jeffrey Samberg is the manager of Acadia Woods Partners, LLC, trustee of the Jeffrey S. Samberg Amended &amp; Restated Revocable Trust, co-trustee of The Rebecca P. Samberg 2018 Revocable Trust dated March 26, 2018, and a member of the board of directors of The Samberg Family Foundation, Inc., and may be deemed to have voting and investment power over the securities held by each such entity. Jeffrey Samberg disclaims beneficial ownership of such shares except to the extent of his pecuniary interest therein. Jeffrey Samberg served as a member of the Board of Directors of Orphai Therapeutics, Inc. prior to the Acquisition. The business address of Acadia Woods Partners, LLC is c/o Hawkes Financial LLC, 77 Bedford Road, Katonah, NY 10536.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(i) 2,618 Acquisition Shares, 130,950 Acquisition Conversion Shares, 15,339 Acquisition Warrant Conversion Shares, 10,955 Private Placement Conversion Shares, and 5,478 Private Placement Warrant Conversion Shares held by Joseph D. Samberg Revocable Trust, (ii) 146 Acquisition Shares and 7,274 Acquisition Conversion Shares held by Joseph Samberg, (iii) 145 Acquisition Shares and 7,231 Acquisition Conversion Shares held by The Rebecca P. Samberg 2018 Revocable Trust dated March 26, 2018, and (iv) 436 Acquisition Shares and 21,778 Acquisition Conversion Shares held by The Samberg Family Foundation, Inc. The shares reported under “Common Stock That May Be Offered Pursuant to Prospectus” consist of the aggregate Resale Shares set forth in (i) and (ii) above. Joseph Samberg is trustee of The Joseph D. Samberg Revocable Trust, a co-trustee of The Rebecca P. Samberg 2018 Revocable Trust dated March 26, 2018, and a member of the board of directors of The Samberg Family Foundation, Inc., and may be deemed to have voting and investment power over the securities held by each such entity. Joseph Samberg disclaims beneficial ownership of such shares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353 Acquisition Shares and 17,664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Shares held by 23rd Century Capital LLC and (ii) 2,031 Acquisition Shares and 101,567 Acquisition Conversion Shares held by Jonathan M. Rothberg Children’s Trust 2012. Jonathan M. Rothberg may be deemed to have voting and investment power over the securities held by 23rd Century Capital LLC and Jonathan M. Rothberg Children’s Trust 2012. The address for 23rd Century Capital LLC and Jonathan M. Rothberg Children’s Trust 2012 is 10 West San Marino Drive, Miami Beach, FL 33139.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8,075 Acquisition Shares and 403,937 Acquisition Conversion Shares held by KLS Consortium Limited (“KLS”) and (ii) 130 Acquisition Shares, 6,497 Acquisition Conversion Shares, and 2,283 Acquisition Warrant Conversion Shares held by LSS Private Equity Singapore PTE. LTD (“LSS”). KLS is a Cayman Islands segregated portfolio company. Voting and dispositive power over these securities is exercised through LSS Private Equity Co., Ltd., general partner of the SKS METIS Fund No. 1 and Kclavis Metis Fund No.1 that established KLS. LSS is a wholly owned subsidiary of LSS Private Equity Co., Ltd. Voting and dispositive power over these securities is exercised through LSS Private Equity Co. Ltd. Young Chul Kim holds such power on behalf of LSS Private Equity Co., Ltd. The address of KLS and LSS is 10F, Two IFC, 10 Gukjegeumyung-ro, Yeongdeungpo-gu, Seoul, Korea.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1,973 Acquisition Shares held by Michael J. Rothberg Family Trust and (ii) 5,498 Acquisition Shares and 12,122 Acquisition Conversion Shares held by Rothberg Family Fund I LLC. Michael J. Rothberg may be deemed to have voting and investment power over the securities held by Michael J. Rothberg Family Trust and Rothberg Family Fund I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2,138 Acquisition Shares held by Mintz Levin Special Investments Fund LLC (Series Fiscal 2016) (“MLSIF 16”), (ii) 191 Acquisition Shares and 69 Acquisition Warrant Conversion Shares held by Mintz Levin Special Investments Fund LLC (Series Fiscal 2026) (“MLSIF 26”), (iii) 1,065 Acquisition Shares, 9,925 Acquisition Conversion Shares, and 310 Acquisition Warrant Conversion Shares held by Mintz, Levin, Cohn, Ferris, Glovsky and Popeo, P.C., and (iv) 79 Acquisition Shares held by Michael L. Fantozzi. Mintz, Levin, Cohn, Ferris, Glovsky and Popeo, P.C. served as outside legal counsel to Orphai Therapeutics, Inc. from April 2013 through July 2024. Michael L. Fantozzi is a partner of Mintz, Levin, Cohn, Ferris, Glovsky and Popeo, P.C. The address of MLSIF 16 and MLSIF 26 is One Financial Center, Boston, MA 02111.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16,678 Private Placement Conversion Shares and 8,339 Private Placement Warrant Conversion Shares held by SilverArc Capital Alpha Fund I, L.P., (ii) 415,331 Private Placement Conversion Shares and 207,666 Private Placement Warrant Conversion Shares held by SilverArc Capital Alpha Fund II, L.P., and (iii) 154,827 Private Placement Conversion Shares and 77,414 Private Placement Warrant Conversion Shares held by Squarepoint Diversified Partners Fund Limited. SilverArc Capital Management, LLC is the controlling entity of each of SilverArc Capital Alpha Fund I, L.P., SilverArc Capital Alpha Fund II, L.P., and Squarepoint Diversified Partners Fund Limited, and is solely owned by Devesh Gandhi. Mr. Gandhi may be deemed to have shared voting and investment power over the securities held by each such entity. Mr. Gandhi disclaims beneficial ownership of such securities, except to the extent of his pecuniary interest therein. The business address of SilverArc Capital Alpha Fund I, L.P., SilverArc Capital Alpha Fund II, L.P., and Squarepoint Diversified Partners Fund Limited is 20 Park Plaza, 4th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326,019 Private Placement Conversion Shares and 163,010 Private Placement Warrant Conversion Shares. Eventide Healthcare Innovation Fund I GP LLC (the “GP”) is the general partner of Eventide Healthcare Innovation Fund I LP (“EHIF I”) and may be deemed to have voting and investment power over the shares held by EHIF I. Eventide Asset Management, LLC (“Eventide”), the Managing Member of the GP, and Robin John, Chief Executive Officer of Eventide, may also be deemed to have voting and investment power over the shares held by EHIF I. Finny Kuruvilla and I-hing Shih are members of EHIF I’s Investment Committee and may be deemed to share voting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investment power over the shares held by EHIF I. Each of the GP, Eventide, Mr. John, Mr. Kuruvilla, and Ms. Shih disclaims beneficial ownership of such shares except to the extent of their respective pecuniary interests therein. The address of EHIF I is c/o Eventide Asset Management, LLC, 1 International Place, Suite 4210, Boston, MA 02110.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213 Acquisition Shares and 10,625 Acquisition Conversion Shares. The address of Feixiang Holdings Private Limited is No. 425 Changyang Street, Suzhou Industrial Park, Suzhou Jiangsu, China.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2,732 Acquisition Shares and 30,322 Acquisition Conversion Shares. The address of Global Institutional Capital Holdings SPV is Villa 49, Al Muntazah complex, Jebel Ali, Dubai, United Arab Emirates.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2,601 Acquisition Shares held by Gregg Fergus and (ii) 434 Acquisition Shares held by Trustee Under Gregg C. Fergus Revocable Trust, dated February 28, 2014, as amended or restated. Gregg Fergus, as trustee of the Gregg C. Fergus Revocable Trust, dated February 28, 2014, as amended or restated, may be deemed to have voting and investment power over the securities held by such trust. The address for Gregg Fergus is PO Box 1715 Sanibel, FL 33957.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242 Acquisition Shares, 12,066 Acquisition Conversion Shares, and 4,239 Acquisition Warrant Conversion Shares. Guilford Asia Association No.1 is a Korean individual investment partnership. June Tae Park, as its general partner, holds sole voting and dispositive power over these securities. The address of Guilford Asia Association No.1 is 50 Worldcup Buk-ro, Mapo-gu, Suite 1118, Seoul, Korea.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4,335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98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8,358 Acquisition Shares, 418,138 Acquisition Conversion Shares, 80,320 Acquisition Warrant Conversion Shares, 45,447 Private Placement Conversion Shares, 22,724 Private Placement Warrant Conversion Shares, and 41,132 shares of Common Stock purchased in the open market. The shares reported under “Common Stock That May Be Offered Pursuant to Prospectus” consist of 8,358 Acquisition Shares, 418,138 Acquisition Conversion Shares, 80,320 Acquisition Warrant Conversion Shares, 45,447 Private Placement Conversion Shares, and 22,724 Private Placement Warrant Conversion Shares. The shares reported under “Common Stock Beneficially Owned After Offering” consist of 41,132 shares of Common Stock purchased in the open market. Ikarian Capital, LLC (“Ikarian”), as the investment manager of Ikarian Healthcare Master Fund, LP (the “Fund”), has shared voting and dispositive power over the securities held by the Fund. Neil Shahrestani is the sole manager and a member of Ikarian and, in such capacities, may be deemed to share voting and dispositive power over such securities. The business address of Ikarian is 100 Crescent Court, Suite 1620, Dallas, TX 75201.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66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31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14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1,905 Acquisition Shares and 95,295 Acquisition Conversion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4,313 Acquisition Shares and 22,528 Acquisition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Shares. The address of Liberty Bell Investment Corp. is 1939 Stone Ridge Lane, Villanova, PA 19085, Attn: Brian Streko.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309,718 Private Placement Conversion Shares and 154,859 Private Placement Warrant Conversion Shares. The principal business address for LifeSci Venture Master, LLC is 152 West 57th Street, 32nd Floor, New York, NY 10019.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42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2,608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326,019 Private Placement Conversion Shares and 163,010 Private Placement Warrant Conversion Shares. The address of Logos Opportunities Fund V LP is 1 Letterman Dr., C3-350, San Francisco, CA 94129.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 Acquisition Share.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2,608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4,739 Acquisition Shares and 1,696 Acquisition Warrant Conversion Shares. The address of Moca Ventures Inc. is Floor 12, 2621, Nambusunhwan-ro, Gangnam-gu, Seoul, Republic of Korea 06267.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consist of 478 Acquisition Shares, 23,894 Acquisition Conversion Shares, 8,394 Acquisition Warrant Conversion Shares, and 17,337 shares of Common Stock issuable upon the exercise of stock options exercisable within 60 days of July 30, 2026. The shares reported under “Common Stock That May Be Offered Pursuant to Prospectus” consist of 478 Acquisition Shares, 23,894 Acquisition Conversion Shares, and 8,394 Acquisition Warrant Conversion Shares. The shares reported under “Common Stock Beneficially Owned After Offering” consist of 17,337 shares of Common Stock issuable upon the exercise of stock options exercisable within 60 days of July 30, 2026. Dr. Gunel served as a member of the Board of Directors and Scientific Advisory Board of Orphai Therapeutics, Inc. prior to the Acquisition.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87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16,301 Private Placement Conversion Shares and 8,151 Private Placement Warrant Conversion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261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912,853 Private Placement Conversion Shares and 456,427 Private Placement Warrant Conversion Shares. Perceptive Advisors LLC (“Perceptive Advisors”) serves as the investment manager to Perceptive Life Sciences Master Fund, Ltd. and may be deemed to beneficially own such shares. Joseph Edelman is the managing member of Perceptive Advisors and may be deemed to have voting and dispositive power over the shares held by Perceptive Life Sciences Master Fund, Ltd. Perceptive Advisors and Mr. Edelman disclaim beneficial ownership of these shares, except to the extent of any pecuniary interest therein. The principal business address of Perceptive Life Sciences Master Fund, Ltd. is 51 Astor Place, 10th Floor, New York, NY 10003.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11,702 Private Placement Conversion Shares and 5,851 Private Placement Warrant Conversion Shares. The principal business address of Persistent Asset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Global Select Fund SPC – Persistent Asset X Segregated Portfolio is Suite 1901, Two Exchange Square, 8 Connaught Place, Central, Hong Kong.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39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279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75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8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3,574 Acquisition Shares and 1,279 Acquisition Warrant Conversion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174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2,161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183,910 Private Placement Conversion Shares and 91,955 Private Placement Warrant Conversion Shares. Columbia Management Investment Advisers, LLC serves as investment manager to Seligman Healthcare Spectrum (Master) Fund (“SHS Master”). Kosta Kleyman, portfolio manager of SHS Master, may be deemed to exercise ultimate investment power of the securities held by SHS Master. The address of SHS Master is c/o Columbia Management Investment Advisers, LLC, 290 Congress Street, Boston, Massachusetts 02210.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3,208 Acquisition Shares. The address of Shenzhen Sangel Jing Rui Venture Capital (Limited Partnership) is Room 2402, Shenzhen Bay Venture Capital Building, No. 25 Haitianer Road, Nanshan District, Shenzhen, Guangdong 518000.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2,608 Acquisition Shares. The address of SIP Sungent BioVenture Venture Capital Investment Partnership (LP) is Room B06, 4th Floor, Building A3, No.218 Xinghu Street, Suzhou Industrial Park.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473 Acquisition Shares, 23,656 Acquisition Conversion Shares, and 8,310 Acquisition Warrant Conversion Shares held by SKS Metis Fund No.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260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2,588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652 Acquisition Shares. The address of The Liang Living Trust is 115 Tobin Clark Drive, Hillsborough, CA 94010.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227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3,468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434 Acquisition Shares. The address of the Trustee Under Beverly K. Fergus Revocable Trust, dated February 24, 2014, as amended or restated is 2197 Williams Point Dr., Stoughton, WI 53589.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190 Acquisition Shares, 9,463 Acquisition Conversion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Shares, and 3,324 Acquisition Warrant Conversion Shares. Vikram Khanna served as a member of the Board of Directors of Orphai Therapeutics, Inc. prior to the Acquisition.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112 Acquisition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2,169 Acquisition Shares, 20,217 Acquisition Conversion Shares, and 632 Acquisition Warrant Conversion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326,019 Private Placement Conversion Shares and 163,010 Private Placement Warrant Conversion Shares. Woodline Partners LP serves as the investment manager of Woodline Master Fund LP and may be deemed to be the beneficial owner of the shares held by Woodline Master Fund LP. Woodline Partners LP disclaims any beneficial ownership of these shares. The business address of Woodline Master Fund LP is 4 Embarcadero Center, Suite 3450, San Francisco, CA 94111.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753 Acquisition Shares and 37,642 Acquisition Conversion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160 Acquisition Shares and 7,969 Acquisition Conversion Shares held by YH North America Capital L.P. and (ii) 2,873 Acquisition Shares and 13,282 Acquisition Conversion Shares held by Yonghua International 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3,270 Acquisition Shares, 21,658 Acquisition Conversion Shares, and 1,015 Acquisition Warrant Conversion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1,956 Acquisition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“Common Stock Beneficially Owned Before Offering” and “Common Stock That May Be Offered Pursuant to Prospectus” consist of (i) 145 Acquisition Shares and 7,231 Acquisition Conversion Shares held by The Rebecca P. Samberg 2018 Revocable Trust dated March 26, 2018, and (ii) 436 Acquisition Shares and 21,778 Acquisition Conversion Shares held by The Samberg Family Foundation, Inc. The shares reported under “Common Stock That May Be Offered Pursuant to Prospectus” consist of the aggregate Resale Shares set forth in (i) and (ii) above. The shares referred to in (i) are held of record by The Rebecca P. Samberg 2018 Revocable Trust. Jeffrey S. Samberg, Joseph D. Samberg, Laura Samberg Faino, Rebecca P. Samberg and Aryeh Davis serve as co-trustees of the trust, and each trustee may act independently with respect to the trust. Accordingly, each of the trustees may be deemed to share voting and dispositive power over the shares held by the trust. Each of the trustees, other than Rebecca P. Samberg, disclaims beneficial ownership of the shares held by the trust except to the extent of his or her pecuniary interest therein, if any. The shares referred to in (ii) are held of record by The Samberg Family Foundation, Inc., a Delaware nonprofit corporation. The Foundation’s board of directors, currently consisting of Rebecca P. Samberg, Laura J. Samberg Faino, Jeffrey S. Samberg, Joseph D. Samberg and Aryeh Davis, has voting and dispositive power over the shares held by the Foundation. By virtue of their positions as directors of the Foundation, each of the foregoing individuals may be deemed to share voting and dispositive power over the shares held by the Foundation. Each of the foregoing individuals disclaims beneficial ownership of the shares held by the Foundation except to the extent of his or her pecuniary interest therein, if any. Aryeh Davis is also the manager of Copperbeech Partners, LLC, a Selling Stockholder named elsewhere in this table, and in such capacity has voting and dispositive power over the shares held by Copperbeech Partners, LLC. Mr. Davis disclaims beneficial ownership of the shares held by Copperbeech Partners, LLC except to the extent of his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Material Relationships with the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Selling Stockholders have or previously had the below material relationships with us or Orphai within the past three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Jeffrey Samberg previously served as a member of the board of directors of Orphai Subsidiary from October 16, 2025 until the Closing. Mr. Samberg is the manager of Acadia Woods Partners, LLC, trustee of the Jeffrey S. Samberg Amended &amp; Restated Revocable Trust, co-trustee of The Rebecca P. Samberg 2018 Revocable Trust dated March 26, 2018, and a member of the board of directors of The Samberg Family Foundation, Inc., and may be deemed to have voting and investment power over the securities held by each such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Mintz, Levin, Cohn, Ferris, Glovsky and Popeo, P.C. served as outside legal counsel to Orphai Subsidiary from April 2013 through July 2024. Michael L. Fantozzi is a partner of Mintz, Levin, Cohn, Ferris, Glovsky and Popeo, P.C.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Murat Gunel previously served as a member of the board of directors of Orphai Subsidiary from September 1, 2022 until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Vikram Khanna previously served as a member of the board of directors of Orphai Subsidiary from October 1, 2021 until the Closing.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Acquisition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See the section titled “Prospectus Summary—Recent Developments” for a description of the terms of the agreements entered into in connection with the Acquisition Transactions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67417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Resale Shares or interests in Resale Shares received after the date of this prospectus from a Selling Stockholder as a gift, pledge, partnership distribution or other transfer, may, from time to time, sell, transfer or otherwise dispose of any or all of their Resale Shares or interests in Resale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Resale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Resale Shares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Resale Shares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Resale Shares short and deliver these securities to close out their short positions, or loan or pledge the Resale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Resale Shares offered by this prospectus, which Resale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Resale Shares offered by them will be the purchase price of the Resale Shares less discounts or commissions, if any. Each of the Selling Stockholders reserves the right to accept and, together with their agents from time to time, to reject, in whole or in part, any proposed purchase of Resale Shares to be made directly or through agents. We will not receive any of the proceeds from this offering. If the Warrants are exercised for cash, we will receive the net proceeds therefrom.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Resale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Resale Shares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Resale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Resale Shares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Resale Shares may be sold in these jurisdictions only through registered or licensed brokers or dealers. In addition, in some states the Resale Shares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Resale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Resale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Resale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Resale Shares covered by this prospectus and (ii) the date on which the Resale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Selling Stockholder will sell any or all of the Resale Shares registered pursuant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67417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legality of the securities offered, will be passed upon for us by Cooley LLP, Washington, D.C.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1" w:name="toc167417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Quince Therapeutics, Inc. as of December 31, 2025 and 2024 and for each of the two years in the period ended December 31, 2025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Quince Therapeutics, Inc.’s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Orphai Therapeutics, Inc. as of December 31, 2025 and 2024 and for each of the two years in the period ended December 31, 2025 incorporated by reference in this Registration Statement have been audited by Deloitte &amp; Touche LLP, an independent auditor, as stated in their report.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67417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www.quincetx.com. However, the information on, or that can be accessed through, our website is not a part of this prospectus and is not incorporated by reference into this prospectus. </w:t>
      </w:r>
    </w:p>
    <w:p>
      <w:pPr>
        <w:pStyle w:val="TextBody"/>
        <w:bidi w:val="0"/>
        <w:spacing w:before="480" w:after="0"/>
        <w:jc w:val="center"/>
        <w:rPr>
          <w:rFonts w:ascii="Times New Roman" w:hAnsi="Times New Roman"/>
          <w:b/>
          <w:sz w:val="20"/>
        </w:rPr>
      </w:pPr>
      <w:bookmarkStart w:id="13" w:name="toc167417_11"/>
      <w:bookmarkEnd w:id="13"/>
      <w:r>
        <w:rPr>
          <w:rFonts w:ascii="Times New Roman" w:hAnsi="Times New Roman"/>
          <w:b/>
          <w:sz w:val="20"/>
        </w:rPr>
        <w:t xml:space="preserve">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including all filings made after the date of the filing of this registration statement and prior to the effectiveness of this registration statement, except, in each case, as to any portion of any future report or document that is not deemed filed under such provisions, prior to the termination of any offering of securities made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4">
              <w:r>
                <w:rPr>
                  <w:rStyle w:val="InternetLink"/>
                  <w:rFonts w:ascii="Times New Roman" w:hAnsi="Times New Roman"/>
                  <w:sz w:val="20"/>
                </w:rPr>
                <w:t>April 10,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for our 2026 Annual Meeting of Stockholders filed with the SEC on </w:t>
            </w:r>
            <w:hyperlink r:id="rId5">
              <w:r>
                <w:rPr>
                  <w:rStyle w:val="InternetLink"/>
                  <w:rFonts w:ascii="Times New Roman" w:hAnsi="Times New Roman"/>
                  <w:sz w:val="20"/>
                </w:rPr>
                <w:t>April 27, 2026</w:t>
              </w:r>
            </w:hyperlink>
            <w:r>
              <w:rPr>
                <w:rFonts w:ascii="Times New Roman" w:hAnsi="Times New Roman"/>
                <w:sz w:val="20"/>
              </w:rPr>
              <w:t xml:space="preserve"> (except for information contained therein which is furnished rather than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fiscal quarter ended March 31, 2026, filed with the SEC on </w:t>
            </w:r>
            <w:hyperlink r:id="rId6">
              <w:r>
                <w:rPr>
                  <w:rStyle w:val="InternetLink"/>
                  <w:rFonts w:ascii="Times New Roman" w:hAnsi="Times New Roman"/>
                  <w:sz w:val="20"/>
                </w:rPr>
                <w:t>May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(except for information contained therein which is furnished rather than filed) filed on </w:t>
            </w:r>
            <w:hyperlink r:id="rId7">
              <w:r>
                <w:rPr>
                  <w:rStyle w:val="InternetLink"/>
                  <w:rFonts w:ascii="Times New Roman" w:hAnsi="Times New Roman"/>
                  <w:sz w:val="20"/>
                </w:rPr>
                <w:t>January  29, 2026</w:t>
              </w:r>
            </w:hyperlink>
            <w:r>
              <w:rPr>
                <w:rFonts w:ascii="Times New Roman" w:hAnsi="Times New Roman"/>
                <w:sz w:val="20"/>
              </w:rPr>
              <w:t xml:space="preserve">, </w:t>
            </w:r>
            <w:hyperlink r:id="rId8">
              <w:r>
                <w:rPr>
                  <w:rStyle w:val="InternetLink"/>
                  <w:rFonts w:ascii="Times New Roman" w:hAnsi="Times New Roman"/>
                  <w:sz w:val="20"/>
                </w:rPr>
                <w:t>February  2, 2026</w:t>
              </w:r>
            </w:hyperlink>
            <w:r>
              <w:rPr>
                <w:rFonts w:ascii="Times New Roman" w:hAnsi="Times New Roman"/>
                <w:sz w:val="20"/>
              </w:rPr>
              <w:t xml:space="preserve">, </w:t>
            </w:r>
            <w:hyperlink r:id="rId9">
              <w:r>
                <w:rPr>
                  <w:rStyle w:val="InternetLink"/>
                  <w:rFonts w:ascii="Times New Roman" w:hAnsi="Times New Roman"/>
                  <w:sz w:val="20"/>
                </w:rPr>
                <w:t>February  12, 2026</w:t>
              </w:r>
            </w:hyperlink>
            <w:r>
              <w:rPr>
                <w:rFonts w:ascii="Times New Roman" w:hAnsi="Times New Roman"/>
                <w:sz w:val="20"/>
              </w:rPr>
              <w:t xml:space="preserve">, </w:t>
            </w:r>
            <w:hyperlink r:id="rId10">
              <w:r>
                <w:rPr>
                  <w:rStyle w:val="InternetLink"/>
                  <w:rFonts w:ascii="Times New Roman" w:hAnsi="Times New Roman"/>
                  <w:sz w:val="20"/>
                </w:rPr>
                <w:t>March  20, 2026</w:t>
              </w:r>
            </w:hyperlink>
            <w:r>
              <w:rPr>
                <w:rFonts w:ascii="Times New Roman" w:hAnsi="Times New Roman"/>
                <w:sz w:val="20"/>
              </w:rPr>
              <w:t xml:space="preserve">, </w:t>
            </w:r>
            <w:hyperlink r:id="rId11">
              <w:r>
                <w:rPr>
                  <w:rStyle w:val="InternetLink"/>
                  <w:rFonts w:ascii="Times New Roman" w:hAnsi="Times New Roman"/>
                  <w:sz w:val="20"/>
                </w:rPr>
                <w:t>March  30, 2026</w:t>
              </w:r>
            </w:hyperlink>
            <w:r>
              <w:rPr>
                <w:rFonts w:ascii="Times New Roman" w:hAnsi="Times New Roman"/>
                <w:sz w:val="20"/>
              </w:rPr>
              <w:t xml:space="preserve">, </w:t>
            </w:r>
            <w:hyperlink r:id="rId12">
              <w:r>
                <w:rPr>
                  <w:rStyle w:val="InternetLink"/>
                  <w:rFonts w:ascii="Times New Roman" w:hAnsi="Times New Roman"/>
                  <w:sz w:val="20"/>
                </w:rPr>
                <w:t>April  9, 2026</w:t>
              </w:r>
            </w:hyperlink>
            <w:r>
              <w:rPr>
                <w:rFonts w:ascii="Times New Roman" w:hAnsi="Times New Roman"/>
                <w:sz w:val="20"/>
              </w:rPr>
              <w:t xml:space="preserve">, </w:t>
            </w:r>
            <w:hyperlink r:id="rId13">
              <w:r>
                <w:rPr>
                  <w:rStyle w:val="InternetLink"/>
                  <w:rFonts w:ascii="Times New Roman" w:hAnsi="Times New Roman"/>
                  <w:sz w:val="20"/>
                </w:rPr>
                <w:t>April  22, 2026</w:t>
              </w:r>
            </w:hyperlink>
            <w:r>
              <w:rPr>
                <w:rFonts w:ascii="Times New Roman" w:hAnsi="Times New Roman"/>
                <w:sz w:val="20"/>
              </w:rPr>
              <w:t xml:space="preserve">, </w:t>
            </w:r>
            <w:hyperlink r:id="rId14">
              <w:r>
                <w:rPr>
                  <w:rStyle w:val="InternetLink"/>
                  <w:rFonts w:ascii="Times New Roman" w:hAnsi="Times New Roman"/>
                  <w:sz w:val="20"/>
                </w:rPr>
                <w:t>April  28, 2026</w:t>
              </w:r>
            </w:hyperlink>
            <w:r>
              <w:rPr>
                <w:rFonts w:ascii="Times New Roman" w:hAnsi="Times New Roman"/>
                <w:sz w:val="20"/>
              </w:rPr>
              <w:t xml:space="preserve">, </w:t>
            </w:r>
            <w:hyperlink r:id="rId15">
              <w:r>
                <w:rPr>
                  <w:rStyle w:val="InternetLink"/>
                  <w:rFonts w:ascii="Times New Roman" w:hAnsi="Times New Roman"/>
                  <w:sz w:val="20"/>
                </w:rPr>
                <w:t>May  18, 2026</w:t>
              </w:r>
            </w:hyperlink>
            <w:r>
              <w:rPr>
                <w:rFonts w:ascii="Times New Roman" w:hAnsi="Times New Roman"/>
                <w:sz w:val="20"/>
              </w:rPr>
              <w:t xml:space="preserve"> (as amended on </w:t>
            </w:r>
            <w:hyperlink r:id="rId16">
              <w:r>
                <w:rPr>
                  <w:rStyle w:val="InternetLink"/>
                  <w:rFonts w:ascii="Times New Roman" w:hAnsi="Times New Roman"/>
                  <w:sz w:val="20"/>
                </w:rPr>
                <w:t>May  18, 2026</w:t>
              </w:r>
            </w:hyperlink>
            <w:r>
              <w:rPr>
                <w:rFonts w:ascii="Times New Roman" w:hAnsi="Times New Roman"/>
                <w:sz w:val="20"/>
              </w:rPr>
              <w:t xml:space="preserve"> and </w:t>
            </w:r>
            <w:hyperlink r:id="rId17">
              <w:r>
                <w:rPr>
                  <w:rStyle w:val="InternetLink"/>
                  <w:rFonts w:ascii="Times New Roman" w:hAnsi="Times New Roman"/>
                  <w:sz w:val="20"/>
                </w:rPr>
                <w:t>July 30, 2026</w:t>
              </w:r>
            </w:hyperlink>
            <w:r>
              <w:rPr>
                <w:rFonts w:ascii="Times New Roman" w:hAnsi="Times New Roman"/>
                <w:sz w:val="20"/>
              </w:rPr>
              <w:t xml:space="preserve">), </w:t>
            </w:r>
            <w:hyperlink r:id="rId18">
              <w:r>
                <w:rPr>
                  <w:rStyle w:val="InternetLink"/>
                  <w:rFonts w:ascii="Times New Roman" w:hAnsi="Times New Roman"/>
                  <w:sz w:val="20"/>
                </w:rPr>
                <w:t>May 21, 2026</w:t>
              </w:r>
            </w:hyperlink>
            <w:r>
              <w:rPr>
                <w:rFonts w:ascii="Times New Roman" w:hAnsi="Times New Roman"/>
                <w:sz w:val="20"/>
              </w:rPr>
              <w:t xml:space="preserve">, </w:t>
            </w:r>
            <w:hyperlink r:id="rId19">
              <w:r>
                <w:rPr>
                  <w:rStyle w:val="InternetLink"/>
                  <w:rFonts w:ascii="Times New Roman" w:hAnsi="Times New Roman"/>
                  <w:sz w:val="20"/>
                </w:rPr>
                <w:t>June  11, 2026</w:t>
              </w:r>
            </w:hyperlink>
            <w:r>
              <w:rPr>
                <w:rFonts w:ascii="Times New Roman" w:hAnsi="Times New Roman"/>
                <w:sz w:val="20"/>
              </w:rPr>
              <w:t xml:space="preserve">, and </w:t>
            </w:r>
            <w:hyperlink r:id="rId20">
              <w:r>
                <w:rPr>
                  <w:rStyle w:val="InternetLink"/>
                  <w:rFonts w:ascii="Times New Roman" w:hAnsi="Times New Roman"/>
                  <w:sz w:val="20"/>
                </w:rPr>
                <w:t>June  26, 2026</w:t>
              </w:r>
            </w:hyperlink>
            <w:r>
              <w:rPr>
                <w:rFonts w:ascii="Times New Roman" w:hAnsi="Times New Roman"/>
                <w:sz w:val="20"/>
              </w:rPr>
              <w:t xml:space="preserve"> (as amended on </w:t>
            </w:r>
            <w:hyperlink r:id="rId21">
              <w:r>
                <w:rPr>
                  <w:rStyle w:val="InternetLink"/>
                  <w:rFonts w:ascii="Times New Roman" w:hAnsi="Times New Roman"/>
                  <w:sz w:val="20"/>
                </w:rPr>
                <w:t>June 26,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which is registered under Section 12 of the Exchange Act, described in </w:t>
            </w:r>
            <w:hyperlink r:id="rId22">
              <w:r>
                <w:rPr>
                  <w:rStyle w:val="InternetLink"/>
                  <w:rFonts w:ascii="Times New Roman" w:hAnsi="Times New Roman"/>
                  <w:sz w:val="20"/>
                </w:rPr>
                <w:t>Exhibit 4.2</w:t>
              </w:r>
            </w:hyperlink>
            <w:r>
              <w:rPr>
                <w:rFonts w:ascii="Times New Roman" w:hAnsi="Times New Roman"/>
                <w:sz w:val="20"/>
              </w:rPr>
              <w:t xml:space="preserve"> to our Annual Report for the fiscal year ended December 31, 2025, filed with the SEC on April 10, 2026,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incorporates). Written or oral requests for copies should be directed to Quince Therapeutics, Inc., Attn: Corporate Secretary, 611 Gateway Boulevard, Suite 273, South San Francisco, California 94080, telephone number (415) 910-5717. See the section of this prospectus entitled “Where You Can Find More Information” for information concerning how to read and obtain copies of materials that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expenses payable by us in connection with the issuance and distribution of the securities being registered hereunder on Form S-3 (other than underwriting discounts and commissions, if any) are set forth below. The Selling Stockholders will not bear any portion of such expenses.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4"/>
        <w:gridCol w:w="472"/>
        <w:gridCol w:w="140"/>
        <w:gridCol w:w="931"/>
        <w:gridCol w:w="62"/>
      </w:tblGrid>
      <w:tr>
        <w:trPr/>
        <w:tc>
          <w:tcPr>
            <w:tcW w:w="5334"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38,600</w:t>
            </w:r>
          </w:p>
        </w:tc>
        <w:tc>
          <w:tcPr>
            <w:tcW w:w="62"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100,000</w:t>
            </w:r>
          </w:p>
        </w:tc>
        <w:tc>
          <w:tcPr>
            <w:tcW w:w="62"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300,000</w:t>
            </w:r>
          </w:p>
        </w:tc>
        <w:tc>
          <w:tcPr>
            <w:tcW w:w="62"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50,000</w:t>
            </w:r>
          </w:p>
        </w:tc>
        <w:tc>
          <w:tcPr>
            <w:tcW w:w="62"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10,000</w:t>
            </w:r>
          </w:p>
        </w:tc>
        <w:tc>
          <w:tcPr>
            <w:tcW w:w="62"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1" w:type="dxa"/>
            <w:tcBorders/>
            <w:vAlign w:val="bottom"/>
          </w:tcPr>
          <w:p>
            <w:pPr>
              <w:pStyle w:val="TableContents"/>
              <w:bidi w:val="0"/>
              <w:spacing w:before="0" w:after="283"/>
              <w:jc w:val="right"/>
              <w:rPr/>
            </w:pPr>
            <w:r>
              <w:rPr/>
              <w:t>498,600</w:t>
            </w:r>
          </w:p>
        </w:tc>
        <w:tc>
          <w:tcPr>
            <w:tcW w:w="62"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Officers and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Delaware General Corporation Law provides that Section 145 is not exclusive of other rights to which those seeking indemnification may be entitled under any bylaw, agreement, vote of stockholders or disinterested directors or otherwise. Our amended and restated bylaws provide for indemnification by the registrant of its directors, officers and employees to the fullest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amended and restated certificate of incorporation provides for such 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582"/>
        <w:gridCol w:w="8730"/>
      </w:tblGrid>
      <w:tr>
        <w:trPr/>
        <w:tc>
          <w:tcPr>
            <w:tcW w:w="893"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8730" w:type="dxa"/>
            <w:tcBorders/>
            <w:vAlign w:val="center"/>
          </w:tcPr>
          <w:p>
            <w:pPr>
              <w:pStyle w:val="TableContents"/>
              <w:bidi w:val="0"/>
              <w:spacing w:before="0" w:after="283"/>
              <w:jc w:val="left"/>
              <w:rPr>
                <w:sz w:val="4"/>
                <w:szCs w:val="4"/>
              </w:rPr>
            </w:pPr>
            <w:r>
              <w:rPr>
                <w:sz w:val="4"/>
                <w:szCs w:val="4"/>
              </w:rPr>
            </w:r>
          </w:p>
        </w:tc>
      </w:tr>
      <w:tr>
        <w:trPr/>
        <w:tc>
          <w:tcPr>
            <w:tcW w:w="893"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82" w:type="dxa"/>
            <w:tcBorders/>
            <w:vAlign w:val="bottom"/>
          </w:tcPr>
          <w:p>
            <w:pPr>
              <w:pStyle w:val="TableContents"/>
              <w:bidi w:val="0"/>
              <w:spacing w:before="0" w:after="283"/>
              <w:jc w:val="left"/>
              <w:rPr/>
            </w:pPr>
            <w:r>
              <w:rPr/>
              <w:t>  </w:t>
            </w:r>
          </w:p>
        </w:tc>
        <w:tc>
          <w:tcPr>
            <w:tcW w:w="87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3">
              <w:r>
                <w:rPr>
                  <w:rStyle w:val="InternetLink"/>
                </w:rPr>
                <w:t>Agreement and Plan of Merger, dated May  17, 2026, by and among Quince Therapeutics, Inc., Phoenix Merger Sub I, Inc., Phoenix Merger Sub II, LLC, Orphai Therapeutics, LLC, and Orphai Holdings Therapeutics, Inc. (incorporated by reference to Exhibit 2.1 to the Registrant’s Current Report on Form 8-K (File No. 001-38890), filed with the SEC on May 18,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4">
              <w:r>
                <w:rPr>
                  <w:rStyle w:val="InternetLink"/>
                </w:rPr>
                <w:t>Amended and Restated Certificate of Incorporation (incorporated by reference to Exhibit 3.1 to the Registrant’s Current Report on Form 8-K (File No. 001-38890), filed with the SEC on May 13, 2019).</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4.2</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5">
              <w:r>
                <w:rPr>
                  <w:rStyle w:val="InternetLink"/>
                </w:rPr>
                <w:t>Certificate of Amendment to Amended and Restated Certificate of Incorporation of Quince Therapeutics, Inc. (incorporated by reference to Exhibit 3.1 to the Registrant’s Current Report on Form 8-K (File No. 001-38890), filed with the SEC on August 1, 2022).</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4.3</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6">
              <w:r>
                <w:rPr>
                  <w:rStyle w:val="InternetLink"/>
                </w:rPr>
                <w:t>Certificate of Amendment to Amended and Restated Certificate of Incorporation of Quince Therapeutics, Inc. (incorporated by reference to Exhibit 3.1 to the Registrant’s Current Report on Form 8-K (File No. 001-38890), filed with the SEC on April 9,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4.4</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7">
              <w:r>
                <w:rPr>
                  <w:rStyle w:val="InternetLink"/>
                </w:rPr>
                <w:t>Certificate of Amendment to Amended and Restated Certificate of Incorporation of Quince Therapeutics, Inc. (incorporated by reference to Exhibit 3.1 to the Registrant’s Current Report on Form 8-K (File No. 001-38890), filed with the SEC on June 26,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4.5</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8">
              <w:r>
                <w:rPr>
                  <w:rStyle w:val="InternetLink"/>
                </w:rPr>
                <w:t>Amended and Restated Bylaws (incorporated by reference to Exhibit 3.2 to the Registrant’s Current Report on Form 8-K (File No. 001-38890), filed with the SEC on August 1, 2022).</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4.6</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29">
              <w:r>
                <w:rPr>
                  <w:rStyle w:val="InternetLink"/>
                </w:rPr>
                <w:t>Amendment to Amended and Restated Bylaws (incorporated by reference to Exhibit 3.4 to the Registrant’s Annual Report on Form 10-K (File No. 001-38890), filed with the SEC on April 10,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4.7</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30">
              <w:r>
                <w:rPr>
                  <w:rStyle w:val="InternetLink"/>
                </w:rPr>
                <w:t>Certificate of Designation of Series C Non-Voting Convertible Preferred Stock (incorporated by reference to Exhibit 3.1 to the Registrant’s Current Report on Form 8-K (File No. 001-38890), filed with the SEC on May 18,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4.8</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31">
              <w:r>
                <w:rPr>
                  <w:rStyle w:val="InternetLink"/>
                </w:rPr>
                <w:t>Form of Pre-Funded Warrant (incorporated by reference to Exhibit 4.1 to the Registrant’s Current Report on Form 8-K (File No. 001-38890), filed with the SEC on June 13, 2025).</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4.9</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32">
              <w:r>
                <w:rPr>
                  <w:rStyle w:val="InternetLink"/>
                </w:rPr>
                <w:t xml:space="preserve">Form of Common Warrant (incorporated by reference to Exhibit 4.2 to the Registrant’s Current Report on Form 8-K (File No. 001-38890), filed with the SEC on June 13, 2025).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4.10</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33">
              <w:r>
                <w:rPr>
                  <w:rStyle w:val="InternetLink"/>
                </w:rPr>
                <w:t>Form of Warrant to Purchase Series C Non-Voting Convertible Preferred Stock or Common Stock (incorporated by reference to Exhibit 4.1 to the Registrant’s Current Report on Form 8-K (File No. 001-38890), filed with the SEC on May 18,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4.11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34">
              <w:r>
                <w:rPr>
                  <w:rStyle w:val="InternetLink"/>
                </w:rPr>
                <w:t>Form of Registration Rights Agreement, dated June  12, 2025, by and among Quince Therapeutics, Inc. and each of the several purchasers signatory thereto (incorporated by reference to Exhibit 10.2 to the Registrant’s Current Report on Form 8-K (File No. 001-38890), filed with the SEC on June 13, 2025.</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4.12</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35">
              <w:r>
                <w:rPr>
                  <w:rStyle w:val="InternetLink"/>
                </w:rPr>
                <w:t>Form of Registration Rights Agreement, by and among Quince Therapeutics, Inc. and certain investors signatory thereto (incorporated by reference to Exhibit 10.2 to the Registrant’s Current Report on Form 8-K (File No. 001-38890), filed with the SEC on May 18, 2026).</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5.1**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r>
              <w:rPr/>
              <w:t>Opinion of Cooley LLP.</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d167417dex231.htm">
              <w:r>
                <w:rPr>
                  <w:rStyle w:val="InternetLink"/>
                </w:rPr>
                <w:t xml:space="preserve">Consent of BDO USA, P.C., independent registered public accounting firm for Quince Therapeutics, Inc.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23.2*</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d167417dex232.htm">
              <w:r>
                <w:rPr>
                  <w:rStyle w:val="InternetLink"/>
                </w:rPr>
                <w:t xml:space="preserve">Consent of Deloitte &amp; Touche LLP, independent registered public accounting firm for Orphai Therapeutics, LLC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92"/>
        <w:gridCol w:w="689"/>
        <w:gridCol w:w="8624"/>
      </w:tblGrid>
      <w:tr>
        <w:trPr/>
        <w:tc>
          <w:tcPr>
            <w:tcW w:w="892" w:type="dxa"/>
            <w:tcBorders/>
            <w:vAlign w:val="center"/>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892"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689" w:type="dxa"/>
            <w:tcBorders/>
            <w:vAlign w:val="bottom"/>
          </w:tcPr>
          <w:p>
            <w:pPr>
              <w:pStyle w:val="TableContents"/>
              <w:bidi w:val="0"/>
              <w:spacing w:before="0" w:after="283"/>
              <w:jc w:val="left"/>
              <w:rPr/>
            </w:pPr>
            <w:r>
              <w:rPr/>
              <w:t>  </w:t>
            </w:r>
          </w:p>
        </w:tc>
        <w:tc>
          <w:tcPr>
            <w:tcW w:w="86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23.3**</w:t>
            </w:r>
          </w:p>
        </w:tc>
        <w:tc>
          <w:tcPr>
            <w:tcW w:w="689"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Consent of Cooley LLP (included in Exhibit 5.1).</w:t>
            </w:r>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24.1*</w:t>
            </w:r>
          </w:p>
        </w:tc>
        <w:tc>
          <w:tcPr>
            <w:tcW w:w="689"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hyperlink w:anchor="sig">
              <w:r>
                <w:rPr>
                  <w:rStyle w:val="InternetLink"/>
                </w:rPr>
                <w:t xml:space="preserve">Power of Attorney (including on signature page of this Registration Statement) </w:t>
              </w:r>
            </w:hyperlink>
          </w:p>
        </w:tc>
      </w:tr>
      <w:tr>
        <w:trPr>
          <w:trHeight w:val="120" w:hRule="atLeast"/>
        </w:trPr>
        <w:tc>
          <w:tcPr>
            <w:tcW w:w="892" w:type="dxa"/>
            <w:tcBorders/>
            <w:vAlign w:val="center"/>
          </w:tcPr>
          <w:p>
            <w:pPr>
              <w:pStyle w:val="TableContents"/>
              <w:bidi w:val="0"/>
              <w:spacing w:before="0" w:after="283"/>
              <w:jc w:val="left"/>
              <w:rPr>
                <w:sz w:val="4"/>
                <w:szCs w:val="4"/>
              </w:rPr>
            </w:pPr>
            <w:r>
              <w:rPr>
                <w:sz w:val="4"/>
                <w:szCs w:val="4"/>
              </w:rPr>
            </w:r>
          </w:p>
        </w:tc>
        <w:tc>
          <w:tcPr>
            <w:tcW w:w="9313"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tcPr>
          <w:p>
            <w:pPr>
              <w:pStyle w:val="TableContents"/>
              <w:bidi w:val="0"/>
              <w:spacing w:before="0" w:after="283"/>
              <w:jc w:val="left"/>
              <w:rPr/>
            </w:pPr>
            <w:r>
              <w:rPr/>
              <w:t>107*</w:t>
            </w:r>
          </w:p>
        </w:tc>
        <w:tc>
          <w:tcPr>
            <w:tcW w:w="689"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hyperlink w:anchor="d167417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annexes and attachments have been omitted pursuant to Item 601(a)(5) of Regulation S-K. The Registrant agrees to furnish supplementally a copy of any omitted schedule, annex or attachment to the SEC upon request.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subparagraphs (i),(ii),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South San Francisco, California, on July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QUINCE THERAPEUTICS,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Dirk Thye</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Dirk Thye, M.D.</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Chief Executive Officer and</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Chief Medical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hereby constitutes and appoints Dirk Thye and Brendan Hannah, as his or her true and lawful attorneys-in-fact, proxies and agents, each with full power of substitution and resubstitution, for him or her in his or her name, place and stead,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and generally to do all such things in his or her name and behalf in his or her capacity as officers and directors to enable the Company to comply with the provisions of the Securities Act and all requirements of the SEC,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45"/>
        <w:gridCol w:w="121"/>
        <w:gridCol w:w="4410"/>
        <w:gridCol w:w="203"/>
        <w:gridCol w:w="1726"/>
      </w:tblGrid>
      <w:tr>
        <w:trPr/>
        <w:tc>
          <w:tcPr>
            <w:tcW w:w="37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1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7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4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17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45"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929" w:type="dxa"/>
            <w:gridSpan w:val="2"/>
            <w:tcBorders/>
            <w:vAlign w:val="center"/>
          </w:tcPr>
          <w:p>
            <w:pPr>
              <w:pStyle w:val="TableContents"/>
              <w:bidi w:val="0"/>
              <w:spacing w:before="0" w:after="283"/>
              <w:jc w:val="left"/>
              <w:rPr>
                <w:sz w:val="4"/>
                <w:szCs w:val="4"/>
              </w:rPr>
            </w:pPr>
            <w:r>
              <w:rPr>
                <w:sz w:val="4"/>
                <w:szCs w:val="4"/>
              </w:rPr>
            </w:r>
          </w:p>
        </w:tc>
      </w:tr>
      <w:tr>
        <w:trPr/>
        <w:tc>
          <w:tcPr>
            <w:tcW w:w="37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Dirk Thye</w:t>
            </w:r>
          </w:p>
          <w:p>
            <w:pPr>
              <w:pStyle w:val="TableContents"/>
              <w:bidi w:val="0"/>
              <w:spacing w:before="0" w:after="20"/>
              <w:jc w:val="center"/>
              <w:rPr>
                <w:rFonts w:ascii="Times New Roman" w:hAnsi="Times New Roman"/>
                <w:sz w:val="20"/>
              </w:rPr>
            </w:pPr>
            <w:r>
              <w:rPr>
                <w:rFonts w:ascii="Times New Roman" w:hAnsi="Times New Roman"/>
                <w:sz w:val="20"/>
              </w:rPr>
              <w:t>Dirk Thye, M.D.</w:t>
            </w:r>
          </w:p>
        </w:tc>
        <w:tc>
          <w:tcPr>
            <w:tcW w:w="121" w:type="dxa"/>
            <w:tcBorders/>
            <w:vAlign w:val="bottom"/>
          </w:tcPr>
          <w:p>
            <w:pPr>
              <w:pStyle w:val="TableContents"/>
              <w:bidi w:val="0"/>
              <w:spacing w:before="0" w:after="283"/>
              <w:jc w:val="left"/>
              <w:rPr/>
            </w:pPr>
            <w:r>
              <w:rPr/>
              <w:t>  </w:t>
            </w:r>
          </w:p>
        </w:tc>
        <w:tc>
          <w:tcPr>
            <w:tcW w:w="4410" w:type="dxa"/>
            <w:tcBorders/>
          </w:tcPr>
          <w:p>
            <w:pPr>
              <w:pStyle w:val="TableContents"/>
              <w:bidi w:val="0"/>
              <w:spacing w:before="0" w:after="283"/>
              <w:jc w:val="center"/>
              <w:rPr/>
            </w:pPr>
            <w:r>
              <w:rPr/>
              <w:t>Chief Executive Officer, Chief Medical Officer and Director (Principal Executive Officer)</w:t>
            </w:r>
          </w:p>
        </w:tc>
        <w:tc>
          <w:tcPr>
            <w:tcW w:w="203"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July 31, 2026</w:t>
            </w:r>
          </w:p>
        </w:tc>
      </w:tr>
      <w:tr>
        <w:trPr>
          <w:trHeight w:val="240" w:hRule="atLeast"/>
        </w:trPr>
        <w:tc>
          <w:tcPr>
            <w:tcW w:w="3745"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929" w:type="dxa"/>
            <w:gridSpan w:val="2"/>
            <w:tcBorders/>
            <w:vAlign w:val="center"/>
          </w:tcPr>
          <w:p>
            <w:pPr>
              <w:pStyle w:val="TableContents"/>
              <w:bidi w:val="0"/>
              <w:spacing w:before="0" w:after="283"/>
              <w:jc w:val="left"/>
              <w:rPr>
                <w:sz w:val="4"/>
                <w:szCs w:val="4"/>
              </w:rPr>
            </w:pPr>
            <w:r>
              <w:rPr>
                <w:sz w:val="4"/>
                <w:szCs w:val="4"/>
              </w:rPr>
            </w:r>
          </w:p>
        </w:tc>
      </w:tr>
      <w:tr>
        <w:trPr/>
        <w:tc>
          <w:tcPr>
            <w:tcW w:w="37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Brendan Hannah</w:t>
            </w:r>
          </w:p>
          <w:p>
            <w:pPr>
              <w:pStyle w:val="TableContents"/>
              <w:bidi w:val="0"/>
              <w:spacing w:before="0" w:after="20"/>
              <w:jc w:val="center"/>
              <w:rPr>
                <w:rFonts w:ascii="Times New Roman" w:hAnsi="Times New Roman"/>
                <w:sz w:val="20"/>
              </w:rPr>
            </w:pPr>
            <w:r>
              <w:rPr>
                <w:rFonts w:ascii="Times New Roman" w:hAnsi="Times New Roman"/>
                <w:sz w:val="20"/>
              </w:rPr>
              <w:t>Brendan Hannah</w:t>
            </w:r>
          </w:p>
        </w:tc>
        <w:tc>
          <w:tcPr>
            <w:tcW w:w="121" w:type="dxa"/>
            <w:tcBorders/>
            <w:vAlign w:val="bottom"/>
          </w:tcPr>
          <w:p>
            <w:pPr>
              <w:pStyle w:val="TableContents"/>
              <w:bidi w:val="0"/>
              <w:spacing w:before="0" w:after="283"/>
              <w:jc w:val="left"/>
              <w:rPr/>
            </w:pPr>
            <w:r>
              <w:rPr/>
              <w:t>  </w:t>
            </w:r>
          </w:p>
        </w:tc>
        <w:tc>
          <w:tcPr>
            <w:tcW w:w="4410" w:type="dxa"/>
            <w:tcBorders/>
          </w:tcPr>
          <w:p>
            <w:pPr>
              <w:pStyle w:val="TableContents"/>
              <w:bidi w:val="0"/>
              <w:spacing w:before="0" w:after="0"/>
              <w:jc w:val="center"/>
              <w:rPr>
                <w:rFonts w:ascii="Times New Roman" w:hAnsi="Times New Roman"/>
                <w:sz w:val="20"/>
              </w:rPr>
            </w:pPr>
            <w:r>
              <w:rPr>
                <w:rFonts w:ascii="Times New Roman" w:hAnsi="Times New Roman"/>
                <w:sz w:val="20"/>
              </w:rPr>
              <w:t>Chief Business Officer and Chief Operating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c>
          <w:tcPr>
            <w:tcW w:w="203"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July 31, 2026</w:t>
            </w:r>
          </w:p>
        </w:tc>
      </w:tr>
      <w:tr>
        <w:trPr>
          <w:trHeight w:val="240" w:hRule="atLeast"/>
        </w:trPr>
        <w:tc>
          <w:tcPr>
            <w:tcW w:w="3745"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929" w:type="dxa"/>
            <w:gridSpan w:val="2"/>
            <w:tcBorders/>
            <w:vAlign w:val="center"/>
          </w:tcPr>
          <w:p>
            <w:pPr>
              <w:pStyle w:val="TableContents"/>
              <w:bidi w:val="0"/>
              <w:spacing w:before="0" w:after="283"/>
              <w:jc w:val="left"/>
              <w:rPr>
                <w:sz w:val="4"/>
                <w:szCs w:val="4"/>
              </w:rPr>
            </w:pPr>
            <w:r>
              <w:rPr>
                <w:sz w:val="4"/>
                <w:szCs w:val="4"/>
              </w:rPr>
            </w:r>
          </w:p>
        </w:tc>
      </w:tr>
      <w:tr>
        <w:trPr/>
        <w:tc>
          <w:tcPr>
            <w:tcW w:w="37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A. Lamond</w:t>
            </w:r>
          </w:p>
          <w:p>
            <w:pPr>
              <w:pStyle w:val="TableContents"/>
              <w:bidi w:val="0"/>
              <w:spacing w:before="0" w:after="20"/>
              <w:jc w:val="center"/>
              <w:rPr>
                <w:rFonts w:ascii="Times New Roman" w:hAnsi="Times New Roman"/>
                <w:sz w:val="20"/>
              </w:rPr>
            </w:pPr>
            <w:r>
              <w:rPr>
                <w:rFonts w:ascii="Times New Roman" w:hAnsi="Times New Roman"/>
                <w:sz w:val="20"/>
              </w:rPr>
              <w:t>David A. Lamond</w:t>
            </w:r>
          </w:p>
        </w:tc>
        <w:tc>
          <w:tcPr>
            <w:tcW w:w="121" w:type="dxa"/>
            <w:tcBorders/>
            <w:vAlign w:val="bottom"/>
          </w:tcPr>
          <w:p>
            <w:pPr>
              <w:pStyle w:val="TableContents"/>
              <w:bidi w:val="0"/>
              <w:spacing w:before="0" w:after="283"/>
              <w:jc w:val="left"/>
              <w:rPr/>
            </w:pPr>
            <w:r>
              <w:rPr/>
              <w:t>  </w:t>
            </w:r>
          </w:p>
        </w:tc>
        <w:tc>
          <w:tcPr>
            <w:tcW w:w="4410"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July 31, 2026</w:t>
            </w:r>
          </w:p>
        </w:tc>
      </w:tr>
      <w:tr>
        <w:trPr>
          <w:trHeight w:val="240" w:hRule="atLeast"/>
        </w:trPr>
        <w:tc>
          <w:tcPr>
            <w:tcW w:w="3745"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929" w:type="dxa"/>
            <w:gridSpan w:val="2"/>
            <w:tcBorders/>
            <w:vAlign w:val="center"/>
          </w:tcPr>
          <w:p>
            <w:pPr>
              <w:pStyle w:val="TableContents"/>
              <w:bidi w:val="0"/>
              <w:spacing w:before="0" w:after="283"/>
              <w:jc w:val="left"/>
              <w:rPr>
                <w:sz w:val="4"/>
                <w:szCs w:val="4"/>
              </w:rPr>
            </w:pPr>
            <w:r>
              <w:rPr>
                <w:sz w:val="4"/>
                <w:szCs w:val="4"/>
              </w:rPr>
            </w:r>
          </w:p>
        </w:tc>
      </w:tr>
      <w:tr>
        <w:trPr/>
        <w:tc>
          <w:tcPr>
            <w:tcW w:w="37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June Bray</w:t>
            </w:r>
          </w:p>
          <w:p>
            <w:pPr>
              <w:pStyle w:val="TableContents"/>
              <w:bidi w:val="0"/>
              <w:spacing w:before="0" w:after="20"/>
              <w:jc w:val="center"/>
              <w:rPr>
                <w:rFonts w:ascii="Times New Roman" w:hAnsi="Times New Roman"/>
                <w:sz w:val="20"/>
              </w:rPr>
            </w:pPr>
            <w:r>
              <w:rPr>
                <w:rFonts w:ascii="Times New Roman" w:hAnsi="Times New Roman"/>
                <w:sz w:val="20"/>
              </w:rPr>
              <w:t>June Bray</w:t>
            </w:r>
          </w:p>
        </w:tc>
        <w:tc>
          <w:tcPr>
            <w:tcW w:w="121" w:type="dxa"/>
            <w:tcBorders/>
            <w:vAlign w:val="bottom"/>
          </w:tcPr>
          <w:p>
            <w:pPr>
              <w:pStyle w:val="TableContents"/>
              <w:bidi w:val="0"/>
              <w:spacing w:before="0" w:after="283"/>
              <w:jc w:val="left"/>
              <w:rPr/>
            </w:pPr>
            <w:r>
              <w:rPr/>
              <w:t>  </w:t>
            </w:r>
          </w:p>
        </w:tc>
        <w:tc>
          <w:tcPr>
            <w:tcW w:w="4410"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July 31, 2026</w:t>
            </w:r>
          </w:p>
        </w:tc>
      </w:tr>
      <w:tr>
        <w:trPr>
          <w:trHeight w:val="240" w:hRule="atLeast"/>
        </w:trPr>
        <w:tc>
          <w:tcPr>
            <w:tcW w:w="3745"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929" w:type="dxa"/>
            <w:gridSpan w:val="2"/>
            <w:tcBorders/>
            <w:vAlign w:val="center"/>
          </w:tcPr>
          <w:p>
            <w:pPr>
              <w:pStyle w:val="TableContents"/>
              <w:bidi w:val="0"/>
              <w:spacing w:before="0" w:after="283"/>
              <w:jc w:val="left"/>
              <w:rPr>
                <w:sz w:val="4"/>
                <w:szCs w:val="4"/>
              </w:rPr>
            </w:pPr>
            <w:r>
              <w:rPr>
                <w:sz w:val="4"/>
                <w:szCs w:val="4"/>
              </w:rPr>
            </w:r>
          </w:p>
        </w:tc>
      </w:tr>
      <w:tr>
        <w:trPr/>
        <w:tc>
          <w:tcPr>
            <w:tcW w:w="37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Brigette Roberts</w:t>
            </w:r>
          </w:p>
          <w:p>
            <w:pPr>
              <w:pStyle w:val="TableContents"/>
              <w:bidi w:val="0"/>
              <w:spacing w:before="0" w:after="20"/>
              <w:jc w:val="center"/>
              <w:rPr>
                <w:rFonts w:ascii="Times New Roman" w:hAnsi="Times New Roman"/>
                <w:sz w:val="20"/>
              </w:rPr>
            </w:pPr>
            <w:r>
              <w:rPr>
                <w:rFonts w:ascii="Times New Roman" w:hAnsi="Times New Roman"/>
                <w:sz w:val="20"/>
              </w:rPr>
              <w:t>Brigette Roberts, M.D.</w:t>
            </w:r>
          </w:p>
        </w:tc>
        <w:tc>
          <w:tcPr>
            <w:tcW w:w="121" w:type="dxa"/>
            <w:tcBorders/>
            <w:vAlign w:val="bottom"/>
          </w:tcPr>
          <w:p>
            <w:pPr>
              <w:pStyle w:val="TableContents"/>
              <w:bidi w:val="0"/>
              <w:spacing w:before="0" w:after="283"/>
              <w:jc w:val="left"/>
              <w:rPr/>
            </w:pPr>
            <w:r>
              <w:rPr/>
              <w:t>  </w:t>
            </w:r>
          </w:p>
        </w:tc>
        <w:tc>
          <w:tcPr>
            <w:tcW w:w="4410" w:type="dxa"/>
            <w:tcBorders/>
          </w:tcPr>
          <w:p>
            <w:pPr>
              <w:pStyle w:val="TableContents"/>
              <w:bidi w:val="0"/>
              <w:spacing w:before="0" w:after="283"/>
              <w:jc w:val="center"/>
              <w:rPr/>
            </w:pPr>
            <w:r>
              <w:rPr/>
              <w:t>Chief of Corporate Affairs and Director</w:t>
            </w:r>
          </w:p>
        </w:tc>
        <w:tc>
          <w:tcPr>
            <w:tcW w:w="203"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July 31, 2026</w:t>
            </w:r>
          </w:p>
        </w:tc>
      </w:tr>
      <w:tr>
        <w:trPr>
          <w:trHeight w:val="240" w:hRule="atLeast"/>
        </w:trPr>
        <w:tc>
          <w:tcPr>
            <w:tcW w:w="3745" w:type="dxa"/>
            <w:tcBorders/>
            <w:vAlign w:val="center"/>
          </w:tcPr>
          <w:p>
            <w:pPr>
              <w:pStyle w:val="TableContents"/>
              <w:bidi w:val="0"/>
              <w:spacing w:before="0" w:after="283"/>
              <w:jc w:val="left"/>
              <w:rPr>
                <w:sz w:val="4"/>
                <w:szCs w:val="4"/>
              </w:rPr>
            </w:pPr>
            <w:r>
              <w:rPr>
                <w:sz w:val="4"/>
                <w:szCs w:val="4"/>
              </w:rPr>
            </w:r>
          </w:p>
        </w:tc>
        <w:tc>
          <w:tcPr>
            <w:tcW w:w="4531" w:type="dxa"/>
            <w:gridSpan w:val="2"/>
            <w:tcBorders/>
            <w:vAlign w:val="center"/>
          </w:tcPr>
          <w:p>
            <w:pPr>
              <w:pStyle w:val="TableContents"/>
              <w:bidi w:val="0"/>
              <w:spacing w:before="0" w:after="283"/>
              <w:jc w:val="left"/>
              <w:rPr>
                <w:sz w:val="4"/>
                <w:szCs w:val="4"/>
              </w:rPr>
            </w:pPr>
            <w:r>
              <w:rPr>
                <w:sz w:val="4"/>
                <w:szCs w:val="4"/>
              </w:rPr>
            </w:r>
          </w:p>
        </w:tc>
        <w:tc>
          <w:tcPr>
            <w:tcW w:w="1929" w:type="dxa"/>
            <w:gridSpan w:val="2"/>
            <w:tcBorders/>
            <w:vAlign w:val="center"/>
          </w:tcPr>
          <w:p>
            <w:pPr>
              <w:pStyle w:val="TableContents"/>
              <w:bidi w:val="0"/>
              <w:spacing w:before="0" w:after="283"/>
              <w:jc w:val="left"/>
              <w:rPr>
                <w:sz w:val="4"/>
                <w:szCs w:val="4"/>
              </w:rPr>
            </w:pPr>
            <w:r>
              <w:rPr>
                <w:sz w:val="4"/>
                <w:szCs w:val="4"/>
              </w:rPr>
            </w:r>
          </w:p>
        </w:tc>
      </w:tr>
      <w:tr>
        <w:trPr/>
        <w:tc>
          <w:tcPr>
            <w:tcW w:w="374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J. Senner</w:t>
            </w:r>
          </w:p>
          <w:p>
            <w:pPr>
              <w:pStyle w:val="TableContents"/>
              <w:bidi w:val="0"/>
              <w:spacing w:before="0" w:after="20"/>
              <w:jc w:val="center"/>
              <w:rPr>
                <w:rFonts w:ascii="Times New Roman" w:hAnsi="Times New Roman"/>
                <w:sz w:val="20"/>
              </w:rPr>
            </w:pPr>
            <w:r>
              <w:rPr>
                <w:rFonts w:ascii="Times New Roman" w:hAnsi="Times New Roman"/>
                <w:sz w:val="20"/>
              </w:rPr>
              <w:t>Christopher J. Senner</w:t>
            </w:r>
          </w:p>
        </w:tc>
        <w:tc>
          <w:tcPr>
            <w:tcW w:w="121" w:type="dxa"/>
            <w:tcBorders/>
            <w:vAlign w:val="bottom"/>
          </w:tcPr>
          <w:p>
            <w:pPr>
              <w:pStyle w:val="TableContents"/>
              <w:bidi w:val="0"/>
              <w:spacing w:before="0" w:after="283"/>
              <w:jc w:val="left"/>
              <w:rPr/>
            </w:pPr>
            <w:r>
              <w:rPr/>
              <w:t>  </w:t>
            </w:r>
          </w:p>
        </w:tc>
        <w:tc>
          <w:tcPr>
            <w:tcW w:w="4410" w:type="dxa"/>
            <w:tcBorders/>
          </w:tcPr>
          <w:p>
            <w:pPr>
              <w:pStyle w:val="TableContents"/>
              <w:bidi w:val="0"/>
              <w:spacing w:before="0" w:after="283"/>
              <w:jc w:val="center"/>
              <w:rPr/>
            </w:pPr>
            <w:r>
              <w:rPr/>
              <w:t>Director</w:t>
            </w:r>
          </w:p>
        </w:tc>
        <w:tc>
          <w:tcPr>
            <w:tcW w:w="203"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July 31,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5" w:name="d167417dex231.htm"/>
      <w:bookmarkStart w:id="16" w:name="ksd167417dex231"/>
      <w:bookmarkEnd w:id="15"/>
      <w:bookmarkEnd w:id="1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of our report dated April 10, 2026, relating to the consolidated financial statements of Quince Therapeutics, Inc. (the Company) appearing in the Company’s Annual Report on Form 10-K for the year ended December 31, 2025. Our report contains an explanatory paragraph regarding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us under the caption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0" w:after="0"/>
        <w:jc w:val="right"/>
        <w:rPr>
          <w:rFonts w:ascii="Times New Roman" w:hAnsi="Times New Roman"/>
          <w:b/>
          <w:sz w:val="20"/>
        </w:rPr>
      </w:pPr>
      <w:bookmarkStart w:id="17" w:name="d167417dex232.htm"/>
      <w:bookmarkStart w:id="18" w:name="ksd167417dex232"/>
      <w:bookmarkEnd w:id="17"/>
      <w:bookmarkEnd w:id="1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July 29, 2026, relating to the financial statements of Orphai Therapeutics, Inc., appearing in the Current Report on Form 8-K of Quince Therapeutics, Inc. filed on July 29, 2026.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Hartford, Connecticut </w:t>
      </w:r>
    </w:p>
    <w:p>
      <w:pPr>
        <w:pStyle w:val="TextBody"/>
        <w:bidi w:val="0"/>
        <w:spacing w:before="120" w:after="0"/>
        <w:jc w:val="left"/>
        <w:rPr>
          <w:rFonts w:ascii="Times New Roman" w:hAnsi="Times New Roman"/>
          <w:sz w:val="20"/>
        </w:rPr>
      </w:pPr>
      <w:r>
        <w:rPr>
          <w:rFonts w:ascii="Times New Roman" w:hAnsi="Times New Roman"/>
          <w:sz w:val="20"/>
        </w:rPr>
        <w:t xml:space="preserve">July 31, 2026 </w:t>
      </w:r>
    </w:p>
    <w:p>
      <w:pPr>
        <w:pStyle w:val="Normal"/>
        <w:bidi w:val="0"/>
        <w:spacing w:before="0" w:after="0"/>
        <w:jc w:val="left"/>
        <w:rPr>
          <w:sz w:val="4"/>
          <w:szCs w:val="4"/>
        </w:rPr>
      </w:pPr>
      <w:r>
        <w:rPr>
          <w:sz w:val="4"/>
          <w:szCs w:val="4"/>
        </w:rPr>
      </w:r>
      <w:bookmarkStart w:id="19" w:name="d167417dexfilingfees.htm"/>
      <w:bookmarkStart w:id="20" w:name="ksd167417dexfilingfees"/>
      <w:bookmarkStart w:id="21" w:name="d167417dexfilingfees.htm"/>
      <w:bookmarkStart w:id="22" w:name="ksd167417dexfilingfees"/>
      <w:bookmarkEnd w:id="21"/>
      <w:bookmarkEnd w:id="22"/>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Quince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15,470,099 </w:t>
            </w:r>
          </w:p>
        </w:tc>
        <w:tc>
          <w:tcPr>
            <w:tcW w:w="1156" w:type="dxa"/>
            <w:tcBorders/>
            <w:shd w:fill="E7E7E2" w:val="clear"/>
            <w:vAlign w:val="center"/>
          </w:tcPr>
          <w:p>
            <w:pPr>
              <w:pStyle w:val="TableContents"/>
              <w:bidi w:val="0"/>
              <w:spacing w:before="0" w:after="283"/>
              <w:jc w:val="right"/>
              <w:rPr/>
            </w:pPr>
            <w:r>
              <w:rPr/>
              <w:t xml:space="preserve">$ 18.05 </w:t>
            </w:r>
          </w:p>
        </w:tc>
        <w:tc>
          <w:tcPr>
            <w:tcW w:w="1786" w:type="dxa"/>
            <w:tcBorders/>
            <w:shd w:fill="E7E7E2" w:val="clear"/>
            <w:vAlign w:val="center"/>
          </w:tcPr>
          <w:p>
            <w:pPr>
              <w:pStyle w:val="TableContents"/>
              <w:bidi w:val="0"/>
              <w:spacing w:before="0" w:after="283"/>
              <w:jc w:val="right"/>
              <w:rPr/>
            </w:pPr>
            <w:r>
              <w:rPr/>
              <w:t xml:space="preserve">$ 279,235,286.95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$ 38,562.39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3" w:name="MaxAggtOfferingPrice"/>
            <w:bookmarkEnd w:id="23"/>
            <w:r>
              <w:rPr/>
              <w:t xml:space="preserve">$ 279,235,286.95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$ 38,562.39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$ 38,562.39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Consists of an aggregate of up to 15,470,099 shares of the Registrant's common stock, par value $0.001 per share (the "Common Stock"), consisting of (i) 162,971 shares of Common Stock, (ii) 3,489,281 shares of Common Stock issuable upon the conversion of 67,101.235 shares of the Registrants Series C Non-Voting Convertible Preferred Stock, par value $0.001 per share ("Series C Preferred Stock"), (iii) 7,498,447 shares of Common Stock issuable upon the conversion of 144,200.633 shares of the Registrant's Series C Preferred Stock, and (iv) 4,319,400 shares of Common Stock issuable upon exercise of the Financing Warrants (as defined in the registration statement of which this exhibit forms a part).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(2) Estimated solely for the purpose of computing the amount of the registration fee pursuant to Rule 457(c) under the Securities Act, based on the average of the high and low sales price of the Common Stock as reported on the Nasdaq Global Market on July 27, 2026, a date within five business days prior to the filing of the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662774/000119312526151364/qncx-20251231.htm" TargetMode="External"/><Relationship Id="rId5" Type="http://schemas.openxmlformats.org/officeDocument/2006/relationships/hyperlink" Target="http://www.sec.gov/Archives/edgar/data/../../../ix?doc=/Archives/edgar/data/0001662774/000119312526182255/qncx-20260424.htm" TargetMode="External"/><Relationship Id="rId6" Type="http://schemas.openxmlformats.org/officeDocument/2006/relationships/hyperlink" Target="http://www.sec.gov/Archives/edgar/data/../../../ix?doc=/Archives/edgar/data/0001662774/000119312526217098/qncx-20260331.htm" TargetMode="External"/><Relationship Id="rId7" Type="http://schemas.openxmlformats.org/officeDocument/2006/relationships/hyperlink" Target="http://www.sec.gov/Archives/edgar/data/../../../ix?doc=/Archives/edgar/data/0001662774/000119312526029524/d61547d8k.htm" TargetMode="External"/><Relationship Id="rId8" Type="http://schemas.openxmlformats.org/officeDocument/2006/relationships/hyperlink" Target="http://www.sec.gov/Archives/edgar/data/../../../ix?doc=/Archives/edgar/data/0001662774/000119312526033758/d52597d8k.htm" TargetMode="External"/><Relationship Id="rId9" Type="http://schemas.openxmlformats.org/officeDocument/2006/relationships/hyperlink" Target="http://www.sec.gov/Archives/edgar/data/../../../ix?doc=/Archives/edgar/data/0001662774/000119312526047544/d89820d8k.htm" TargetMode="External"/><Relationship Id="rId10" Type="http://schemas.openxmlformats.org/officeDocument/2006/relationships/hyperlink" Target="http://www.sec.gov/Archives/edgar/data/../../../ix?doc=/Archives/edgar/data/0001662774/000119312526117794/d122428d8k.htm" TargetMode="External"/><Relationship Id="rId11" Type="http://schemas.openxmlformats.org/officeDocument/2006/relationships/hyperlink" Target="http://www.sec.gov/Archives/edgar/data/../../../ix?doc=/Archives/edgar/data/0001662774/000119312526130489/d57124d8k.htm" TargetMode="External"/><Relationship Id="rId12" Type="http://schemas.openxmlformats.org/officeDocument/2006/relationships/hyperlink" Target="http://www.sec.gov/Archives/edgar/data/../../../ix?doc=/Archives/edgar/data/0001662774/000119312526149021/d115661d8k.htm" TargetMode="External"/><Relationship Id="rId13" Type="http://schemas.openxmlformats.org/officeDocument/2006/relationships/hyperlink" Target="http://www.sec.gov/Archives/edgar/data/../../../ix?doc=/Archives/edgar/data/0001662774/000119312526170572/d27180d8k.htm" TargetMode="External"/><Relationship Id="rId14" Type="http://schemas.openxmlformats.org/officeDocument/2006/relationships/hyperlink" Target="http://www.sec.gov/Archives/edgar/data/../../../ix?doc=/Archives/edgar/data/0001662774/000119312526187243/d623526d8k.htm" TargetMode="External"/><Relationship Id="rId15" Type="http://schemas.openxmlformats.org/officeDocument/2006/relationships/hyperlink" Target="http://www.sec.gov/Archives/edgar/data/../../../ix?doc=/Archives/edgar/data/0001662774/000119312526228133/d109149d8k.htm" TargetMode="External"/><Relationship Id="rId16" Type="http://schemas.openxmlformats.org/officeDocument/2006/relationships/hyperlink" Target="http://www.sec.gov/Archives/edgar/data/../../../ix?doc=/Archives/edgar/data/0001662774/000119312526228956/d135388d8ka.htm" TargetMode="External"/><Relationship Id="rId17" Type="http://schemas.openxmlformats.org/officeDocument/2006/relationships/hyperlink" Target="http://www.sec.gov/Archives/edgar/data/../../../ix?doc=/Archives/edgar/data/0001662774/000119312526324786/d163930d8ka.htm" TargetMode="External"/><Relationship Id="rId18" Type="http://schemas.openxmlformats.org/officeDocument/2006/relationships/hyperlink" Target="http://www.sec.gov/Archives/edgar/data/../../../ix?doc=/Archives/edgar/data/0001662774/000119312526234858/d139014d8k.htm" TargetMode="External"/><Relationship Id="rId19" Type="http://schemas.openxmlformats.org/officeDocument/2006/relationships/hyperlink" Target="http://www.sec.gov/Archives/edgar/data/../../../ix?doc=/Archives/edgar/data/0001662774/000119312526267862/d124733d8k.htm" TargetMode="External"/><Relationship Id="rId20" Type="http://schemas.openxmlformats.org/officeDocument/2006/relationships/hyperlink" Target="http://www.sec.gov/Archives/edgar/data/../../../ix?doc=/Archives/edgar/data/0001662774/000119312526284089/d168420d8k.htm" TargetMode="External"/><Relationship Id="rId21" Type="http://schemas.openxmlformats.org/officeDocument/2006/relationships/hyperlink" Target="http://www.sec.gov/Archives/edgar/data/../../../ix?doc=/Archives/edgar/data/0001662774/000119312526285572/d30985d8ka.htm" TargetMode="External"/><Relationship Id="rId22" Type="http://schemas.openxmlformats.org/officeDocument/2006/relationships/hyperlink" Target="http://www.sec.gov/Archives/edgar/data/1662774/000156459021009867/crtx-ex43_435.htm" TargetMode="External"/><Relationship Id="rId23" Type="http://schemas.openxmlformats.org/officeDocument/2006/relationships/hyperlink" Target="http://www.sec.gov/Archives/edgar/data/0001662774/000119312526228133/d109149dex21.htm" TargetMode="External"/><Relationship Id="rId24" Type="http://schemas.openxmlformats.org/officeDocument/2006/relationships/hyperlink" Target="http://www.sec.gov/Archives/edgar/data/1662774/000119312519145468/d747357dex31.htm" TargetMode="External"/><Relationship Id="rId25" Type="http://schemas.openxmlformats.org/officeDocument/2006/relationships/hyperlink" Target="http://www.sec.gov/Archives/edgar/data/1662774/000119312522207867/d346512dex31.htm" TargetMode="External"/><Relationship Id="rId26" Type="http://schemas.openxmlformats.org/officeDocument/2006/relationships/hyperlink" Target="http://www.sec.gov/Archives/edgar/data/0001662774/000119312526149021/d115661dex31.htm" TargetMode="External"/><Relationship Id="rId27" Type="http://schemas.openxmlformats.org/officeDocument/2006/relationships/hyperlink" Target="http://www.sec.gov/Archives/edgar/data/1662774/000119312526284089/d168420dex31.htm" TargetMode="External"/><Relationship Id="rId28" Type="http://schemas.openxmlformats.org/officeDocument/2006/relationships/hyperlink" Target="http://www.sec.gov/Archives/edgar/data/1662774/000119312522207867/d346512dex32.htm" TargetMode="External"/><Relationship Id="rId29" Type="http://schemas.openxmlformats.org/officeDocument/2006/relationships/hyperlink" Target="http://www.sec.gov/Archives/edgar/data/1662774/000119312526151364/qncx-ex3_4.htm" TargetMode="External"/><Relationship Id="rId30" Type="http://schemas.openxmlformats.org/officeDocument/2006/relationships/hyperlink" Target="http://www.sec.gov/Archives/edgar/data/0001662774/000119312526228133/d109149dex31.htm" TargetMode="External"/><Relationship Id="rId31" Type="http://schemas.openxmlformats.org/officeDocument/2006/relationships/hyperlink" Target="http://www.sec.gov/Archives/edgar/data/1662774/000119312525140873/d31831dex41.htm" TargetMode="External"/><Relationship Id="rId32" Type="http://schemas.openxmlformats.org/officeDocument/2006/relationships/hyperlink" Target="http://www.sec.gov/Archives/edgar/data/1662774/000119312525140873/d31831dex42.htm" TargetMode="External"/><Relationship Id="rId33" Type="http://schemas.openxmlformats.org/officeDocument/2006/relationships/hyperlink" Target="http://www.sec.gov/Archives/edgar/data/0001662774/000119312526228133/d109149dex41.htm" TargetMode="External"/><Relationship Id="rId34" Type="http://schemas.openxmlformats.org/officeDocument/2006/relationships/hyperlink" Target="http://www.sec.gov/Archives/edgar/data/1662774/000119312525140873/d31831dex102.htm" TargetMode="External"/><Relationship Id="rId35" Type="http://schemas.openxmlformats.org/officeDocument/2006/relationships/hyperlink" Target="http://www.sec.gov/Archives/edgar/data/0001662774/000119312526228133/d109149dex102.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21177</Words>
  <Characters>116822</Characters>
  <CharactersWithSpaces>139479</CharactersWithSpaces>
  <Paragraphs>2778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