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July 25, 2025</w:t>
      </w:r>
    </w:p>
    <w:p>
      <w:pPr>
        <w:spacing w:after="0" w:line="28"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S-3</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3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0"/>
          <w:szCs w:val="40"/>
          <w:b w:val="1"/>
          <w:bCs w:val="1"/>
          <w:color w:val="auto"/>
        </w:rPr>
        <w:t>QUINCE THERAPEUTICS, INC.</w:t>
      </w:r>
    </w:p>
    <w:p>
      <w:pPr>
        <w:spacing w:after="0" w:line="43"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5640" w:type="dxa"/>
            <w:vAlign w:val="bottom"/>
            <w:gridSpan w:val="3"/>
          </w:tcPr>
          <w:p>
            <w:pPr>
              <w:ind w:left="18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580" w:type="dxa"/>
            <w:vAlign w:val="bottom"/>
          </w:tcPr>
          <w:p>
            <w:pPr>
              <w:spacing w:after="0"/>
              <w:rPr>
                <w:sz w:val="18"/>
                <w:szCs w:val="18"/>
                <w:color w:val="auto"/>
              </w:rPr>
            </w:pPr>
          </w:p>
        </w:tc>
      </w:tr>
      <w:tr>
        <w:trPr>
          <w:trHeight w:val="215"/>
        </w:trPr>
        <w:tc>
          <w:tcPr>
            <w:tcW w:w="25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3"/>
        </w:trPr>
        <w:tc>
          <w:tcPr>
            <w:tcW w:w="564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80" w:type="dxa"/>
            <w:vAlign w:val="bottom"/>
          </w:tcPr>
          <w:p>
            <w:pPr>
              <w:jc w:val="center"/>
              <w:ind w:left="65"/>
              <w:spacing w:after="0"/>
              <w:rPr>
                <w:sz w:val="20"/>
                <w:szCs w:val="20"/>
                <w:color w:val="auto"/>
              </w:rPr>
            </w:pPr>
            <w:r>
              <w:rPr>
                <w:rFonts w:ascii="Times New Roman" w:cs="Times New Roman" w:eastAsia="Times New Roman" w:hAnsi="Times New Roman"/>
                <w:sz w:val="16"/>
                <w:szCs w:val="16"/>
                <w:b w:val="1"/>
                <w:bCs w:val="1"/>
                <w:color w:val="auto"/>
              </w:rPr>
              <w:t>90-1024039</w:t>
            </w:r>
          </w:p>
        </w:tc>
      </w:tr>
      <w:tr>
        <w:trPr>
          <w:trHeight w:val="148"/>
        </w:trPr>
        <w:tc>
          <w:tcPr>
            <w:tcW w:w="5640" w:type="dxa"/>
            <w:vAlign w:val="bottom"/>
            <w:gridSpan w:val="3"/>
          </w:tcPr>
          <w:p>
            <w:pPr>
              <w:jc w:val="center"/>
              <w:ind w:right="37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80" w:type="dxa"/>
            <w:vAlign w:val="bottom"/>
          </w:tcPr>
          <w:p>
            <w:pPr>
              <w:jc w:val="center"/>
              <w:ind w:left="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80" w:type="dxa"/>
            <w:vAlign w:val="bottom"/>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Dirk Thye</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Quince Therapeutics, Inc.</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611 Gateway Boulevard, Suite 273</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South San Francisco, CA 94080</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(415) 910-5717</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Gordon K. Ho</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3175 Hanover Street</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Palo Alto, California 94304</w:t>
      </w:r>
    </w:p>
    <w:p>
      <w:pPr>
        <w:spacing w:after="0" w:line="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93" w:lineRule="exact"/>
        <w:rPr>
          <w:sz w:val="24"/>
          <w:szCs w:val="24"/>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63"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360" w:type="dxa"/>
            <w:vAlign w:val="bottom"/>
          </w:tcPr>
          <w:p>
            <w:pPr>
              <w:spacing w:after="0"/>
              <w:rPr>
                <w:sz w:val="23"/>
                <w:szCs w:val="23"/>
                <w:color w:val="auto"/>
              </w:rPr>
            </w:pPr>
          </w:p>
        </w:tc>
      </w:tr>
    </w:tbl>
    <w:p>
      <w:pPr>
        <w:spacing w:after="0" w:line="74" w:lineRule="exact"/>
        <w:rPr>
          <w:sz w:val="24"/>
          <w:szCs w:val="24"/>
          <w:color w:val="auto"/>
        </w:rPr>
      </w:pPr>
    </w:p>
    <w:p>
      <w:pPr>
        <w:ind w:left="120" w:right="3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9" w:lineRule="exact"/>
        <w:rPr>
          <w:sz w:val="24"/>
          <w:szCs w:val="24"/>
          <w:color w:val="auto"/>
        </w:rPr>
      </w:pPr>
    </w:p>
    <w:p>
      <w:pPr>
        <w:ind w:left="120"/>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25" w:right="459" w:bottom="332"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July 25, 2025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173990</wp:posOffset>
            </wp:positionV>
            <wp:extent cx="2245995" cy="69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59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6,671,928 Shares of Common Stock</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2,000,000 Shares of Common Stock Issuable Upon Exercise of Pre-Funded Warrants</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8,671,928 Shares of Common Stock Issuable Upon Exercise of Warrants</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relates to the proposed resale from time to time by the selling stockholders of:</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6,671,928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2,000,000 shares of common stock issuable upon exercise of pre-funded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8,671,928 shares of common stock issuable upon exercise of common stock warrants.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purchased the shares of common stock, pre-funded warrants, and common stock warrants, from us pursuant to a securities purchase agreement, dated June 12, 2025.</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not selling any of our common stock pursuant to this prospectus, and we will not receive any proceeds from the sale of our common stock offered by this prospectus by the selling stockholders, except with respect to amounts received by us upon exercise of the pre-funded warrants and common stock warrants, to the extent such warrants are exercised for cash.</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may offer and sell or otherwise dispose of the shares of our common stock described in this prospectus from time to time through public or private transactions at prevailing market prices, at prices related to prevailing market prices or at privately negotiated prices. The selling stockholders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stockholders may sell or dispose of their shares of our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“QNCX.” On July 24, 2025, the last reported sale price of the common stock was $1.86 per share.</w:t>
      </w:r>
    </w:p>
    <w:p>
      <w:pPr>
        <w:spacing w:after="0" w:line="148" w:lineRule="exact"/>
        <w:rPr>
          <w:sz w:val="20"/>
          <w:szCs w:val="20"/>
          <w:color w:val="auto"/>
        </w:rPr>
      </w:pPr>
    </w:p>
    <w:p>
      <w:pPr>
        <w:ind w:left="120" w:right="22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and under similar headings in the other documents that are incorporated by reference into this prospectus.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8"/>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514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580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4400" w:type="dxa"/>
            <w:vAlign w:val="bottom"/>
            <w:gridSpan w:val="10"/>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“Quince,” “Quince Therapeutics, Inc.,” “we,” “us” and “our” refer to Quince Therapeutics, Inc., a Delaware corporation, and its consolidated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6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a late-stage biotechnology company dedicated to unlocking the power of a patient’s own biology for the treatment of rare diseases. Our proprietary Autologous Intracellular Drug Encapsulation (“AIDE”) technology is an innovative drug/device combination platform that uses an automated process to encapsulate a drug into a patient’s own red blood cells. Red blood cells have several characteristics that make them an excellent vehicle for drug delivery potential including better safety and tolerability, enhanced tissue distribution, reduced immunogenicity, and prolongation of circulating half-life. Our AIDE technology is designed to harness many of these benefits to allow for new and improved therapeutic options for patients living with high unmet medical needs. Encapsulated dexamethasone sodium phosphate encapsulated in patient’s own red blood cells, or eDSP, is the first product in development that leverages our AIDE technology and is composed of dexamethasone sodium phosphate, or DSP, encapsulated in autologous red blood cells targeted to treat a rare pediatric neurodegenerative disease, Ataxia-Telangiectasia, or A-T. DSP is a corticosteroid well-described for its anti-inflammatory properties, but is also coupled with serious adverse events, including adrenal suppression. eDSP is designed to maintain the well-described efficacy of DSP while reducing or eliminating the significant adverse events that accompany chronic corticosteroid treatment. The altered biodistribution, pharmacokinetics, and pharmacodynamics of eDSP enabled by autologous red blood cells may, therefore, improve the safety profile, and maintain or increase the desired therapeutic effect of DSP.</w:t>
      </w:r>
    </w:p>
    <w:p>
      <w:pPr>
        <w:spacing w:after="0" w:line="190" w:lineRule="exact"/>
        <w:rPr>
          <w:sz w:val="20"/>
          <w:szCs w:val="20"/>
          <w:color w:val="auto"/>
        </w:rPr>
      </w:pPr>
    </w:p>
    <w:p>
      <w:pPr>
        <w:jc w:val="both"/>
        <w:ind w:left="300" w:right="380" w:firstLine="426"/>
        <w:spacing w:after="0" w:line="266" w:lineRule="auto"/>
        <w:rPr>
          <w:sz w:val="20"/>
          <w:szCs w:val="20"/>
          <w:color w:val="auto"/>
        </w:rPr>
      </w:pPr>
      <w:r>
        <w:rPr>
          <w:rFonts w:ascii="Times New Roman" w:cs="Times New Roman" w:eastAsia="Times New Roman" w:hAnsi="Times New Roman"/>
          <w:sz w:val="18"/>
          <w:szCs w:val="18"/>
          <w:color w:val="auto"/>
        </w:rPr>
        <w:t>Currently, there are no approved treatments for A-T and the global market, based on our internal estimates and assumptions, represents a more than $1 billion peak commercial opportunity. We believe this makes eDSP an ideal lead asset to demonstrate the clinical and commercial potential of our AIDE technology.</w:t>
      </w:r>
    </w:p>
    <w:p>
      <w:pPr>
        <w:spacing w:after="0" w:line="176" w:lineRule="exact"/>
        <w:rPr>
          <w:sz w:val="20"/>
          <w:szCs w:val="20"/>
          <w:color w:val="auto"/>
        </w:rPr>
      </w:pPr>
    </w:p>
    <w:p>
      <w:pPr>
        <w:ind w:left="300" w:right="280" w:firstLine="426"/>
        <w:spacing w:after="0" w:line="312" w:lineRule="auto"/>
        <w:rPr>
          <w:sz w:val="20"/>
          <w:szCs w:val="20"/>
          <w:color w:val="auto"/>
        </w:rPr>
      </w:pPr>
      <w:r>
        <w:rPr>
          <w:rFonts w:ascii="Times New Roman" w:cs="Times New Roman" w:eastAsia="Times New Roman" w:hAnsi="Times New Roman"/>
          <w:sz w:val="17"/>
          <w:szCs w:val="17"/>
          <w:color w:val="auto"/>
        </w:rPr>
        <w:t>We intend to focus our development expertise and financial resources toward advancing a Phase 3 NEAT clinical trial, which is an international multicenter, randomized, double-blind, placebo-controlled study to evaluate the neurological effects of eDSP on patients with A-T.</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 of Common Stock, Pre-Funded Warrants and Common Stock Warrants</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Pursuant to that certain securities purchase agreement, dated June 12, 2025, we issued and sold to the selling stockholders in a private placement:</w:t>
      </w:r>
    </w:p>
    <w:p>
      <w:pPr>
        <w:spacing w:after="0" w:line="67" w:lineRule="exact"/>
        <w:rPr>
          <w:sz w:val="20"/>
          <w:szCs w:val="20"/>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6,671,928 shares of common stock;</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2,000,000 shares of common stock; and</w:t>
      </w:r>
    </w:p>
    <w:p>
      <w:pPr>
        <w:spacing w:after="0" w:line="130"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common stock warrants to purchase up to 8,671,928 shares of common stock which we refer to as common stock warrants.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7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076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The purchase price per share and per pre-funded warrant was $1.325 and $1.324, respectively, for aggregate gross proceeds of approximately $11.5 million, before deducting placement agent fees and other expenses payable by us. Each pre-funded warrant has an exercise price of $0.001 per share, is exercisable immediately and will not expire until exercised in full. The purchase price per share and pre-funded warrant includes $0.125, in accordance with the rules and regulations of The Nasdaq Stock Market LLC, for the accompanying common stock warrant. Each common stock warrant has an exercise price of $1.20 per whole share, is exercisable immediately and expires five years from the date of issuance.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common stock by the selling stockholders in this offering, except with respect to amounts received by us upon exercise of the pre-funded warrants and common stock warrants, to the extent such warrants are exercised for cash. The selling stockholders will receive all of the proceeds from the sale of shares of our common stock hereunder.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21" w:lineRule="exact"/>
        <w:rPr>
          <w:sz w:val="20"/>
          <w:szCs w:val="20"/>
          <w:color w:val="auto"/>
        </w:rPr>
      </w:pPr>
    </w:p>
    <w:p>
      <w:pPr>
        <w:ind w:left="300" w:right="320" w:firstLine="426"/>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 We do not intend to list the common stock warrants on any national securities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as Cortexyme, Inc. in Delaware on June 20, 2012. In August 2022, we changed our name to Quince Therapeutics, Inc. Our principal executive offices are located at 611 Gateway Blvd., Suite 273, South San Francisco, California 94080. Our telephone number at that location is (415) 910-5717. Our corporate website address is www.quincetx.com. References to our website address do not constitute incorporation by reference of the information contained on the website, and the information contained on the website is not part of this document.</w:t>
      </w:r>
    </w:p>
    <w:p>
      <w:pPr>
        <w:spacing w:after="0" w:line="18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“Quince” and the Quince Therapeutics, Inc. logo and other trademarks or service marks of Quince appearing in this prospectus are the property of Quince Therapeutics,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5"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deciding whether to invest in our common stock, you should consider carefully the risks and uncertainties described under the heading “Risk Factors” contained in our most recent annual report on Form 10-K, as updated by our subsequent quarterly reports on Form 10-Q and other filings we make with the Securities and Exchange Commission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9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on our current strategic direction;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research and development activities, including the scope, success, cost and timing of any future development activities, preclinical studies and clinical trials, including clinical trials of EryDex or other pipeline compounds we advance through the drug development process;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focus of any potential future clinical trials,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timing of seeking and obtaining FDA and any other regulatory approvals for our drug candidates;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any future completed or planned clinical and preclinical studies and other work, as the basis for review and approval of our drug candidates for their respective indications;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regulatory authorities determine that additional trials or data are necessary in order to accept a new drug application for review and/or approval;</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any future clinical trials to demonstrate safety and efficacy of our EryDex and other drug candidates, and other positive results;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our available cash;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 and maintain compliance with associated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develop and commercialize our drug candidates;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drug candidates, if approved for commercial use, and the potential market opportunities for commercializing our drug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drug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establish sales, marketing and distribution infrastructure to commercialize any drug candidates for which we obtain approval;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clinical personnel, in light of recent management changes and reduction in force;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drug candidates, and for the manufacture of our drug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integrity of our supply chain, including multiple single-source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suppliers for certain of our raw materials and components;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drug candidates into additional indications and patient populations;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and efficacy of our drug candidates;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information requests, clinical holds, and regulatory developments in the United States and other jurisdictions;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drug candidates, and any related restrictions, limitations and/or warnings in the label of any approved drug candidate;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CE Certificates of conformity for the medical device components of our EryDex System in accordance with applicable legislation governing medical devices;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transition CE Certifications under the previous Medical Device Directive, to a regulatory framework under MDR;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claims relating to our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organization and increase the size of our facilities to meet our anticipated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 listing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from the sale of shares of common stock, pre-funded warrants and warrants under this prospectus, if any.</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described in the section titled “Risk Factors” and elsewhere in this prospectus. Should one or more of these risks or uncertainties materialize, or should any of our assumptions prove incorrect, actual results may vary in material respects from</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those projected in these forward-looking statements. We undertake no obligation to update or revise any forward-looking statements, whether as a result of new information, future events or otherwise, except as required by law. We discuss in greater detail many of these risks under the section titled “Risk Factors” in this prospectus,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publicly any forward-looking statements to reflect new information or future events or developments after the date of this prospectus or to conform these statements to actual results or to changes in our expectations.. You should read this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9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the shares of our common stock to be sold pursuant to this prospectus will be sold by the selling stockholders. We will not receive any of the proceeds from such sales.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common stock warrants may be exercised for cash or in certain limited circumstances on a net exercise or “cashless” basis. The pre-funded warrants may be exercised for cash or on a net exercise or “cashless” basis. If all these warrants are exercised for cash we would receive approximately $10.4 million in connection with such exercises. There can be no assurances that any of these warrants will be exercised for cash.</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currently intend to use the net proceeds of the private placement, for working capital and general corporate purposes, including research and development expenses, general and administrative expenses and capital expenditures.</w:t>
      </w:r>
    </w:p>
    <w:p>
      <w:pPr>
        <w:spacing w:after="0" w:line="162"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amounts and timing of the expenditures may vary significantly, depending upon numerous factors, including our proprietary research and development programs and our clinical trials as well as the amount of cash used in our operations. Accordingly, our management will have broad discretion in the application of the net proceeds and may find it necessary or advisable to use the net proceeds for other purposes. Investors will be relying upon the judgment of our management regarding the application of these proceeds. We reserve the right to change the use of these proceeds.</w:t>
      </w:r>
    </w:p>
    <w:p>
      <w:pPr>
        <w:spacing w:after="0" w:line="16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Pending these uses, we intend to invest the proceeds of the private placement in short- and intermediate-term, investment grade interest-bearing securities.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455"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description of our capital stock is based on the provisions of our amended and restated certificate of incorporation, or the Certificate of Incorporation, and amended and restated bylaws, or the Bylaws, and the applicable provisions of the Delaware General Corporation Law, or the DGCL. This information is qualified entirely by reference to the applicable provisions of our Certificate of Incorporation and Bylaws. For information on how to obtain copies of our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authority to issue 250,000,000 shares of our common stock, par value $0.001 per share, and we have authority, subject to any limitations prescribed by law and without further stockholder approval, to issue from time to time up to 10,000,000 shares of preferred stock, par value $0.001 per share, in one or more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w:t>
      </w:r>
    </w:p>
    <w:p>
      <w:pPr>
        <w:spacing w:after="0" w:line="27"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stockholders. Cumulative voting for the election of directors is not provided for in our restated certificate of incorporation, which means the holders of a majority of our shares of common stock can elect all of the directors then standing for election.</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dividends, if any, as may be declared from time to time by the board of directors out of legally available funds.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to designate the rights, preferences, privileges and restrictions of each such series, including dividend rights, preferences, privileges and restrictions of each such series, including dividend rights, dividend rates, conversion rights, voting rights, terms of redemption, redemption prices, liquidation preferences, sinking fund terms and the number of shares constituting any series.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the stockholders. The issuance of redeemable convertible preferred stock with voting and conversion rights may also adversely affect the voting power of the holders of common stock and the likelihood that such holders will receive dividend payments and payments upon liquidation. In certain circumstances, an issuance of preferred stock could have the effect of decreasing the market price of the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Amended and Restated Certificate of Incorporation and Amended and Restated Bylaws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our board of directors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Limits on Ability of Stockholders to Act by Written Consent or Call a Special Meeting</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 In addition, our amended and restated bylaws provides that special meetings of the stockholders may be called only by the chairperson of the board, the Chief Executive Officer, the lead independent director, or at the request of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Board Classification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one class of which is elected each year by our stockholders. The directors in each class will serve three-year terms. A third party may be discouraged from making a tender offer or otherwise attempting to obtain control of us as it is more difficult and time-consuming for stockholders to replace a majority of the directors on a classified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do not permit cumulative voting in the election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Cumulative voting allows a stockholder to vote a portion or all of its shares for one or more candidates for seats on the board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Without cumulative voting, a minority stockholder may not be able to gain as many seats on our board of directors as the stockholder would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able to gain if cumulative voting were permitted. The absence of cumulative voting makes it more difficult for a minority stockholder to gain a seat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our board of directors to influence our board’s decision regarding a takeover.</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and Bylaws Provisions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amendment of the above provisions of our amended and restated certificate of incorporation will require approval by holders of at least two thirds of our outstanding capital stock entitled to vote generally in the election of directors. The amendment of our amended and restated bylaws will require approval by the holders of at least two thirds of our outstanding capital stock entitled to vote generally in the election of directors.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81" w:lineRule="exact"/>
        <w:rPr>
          <w:sz w:val="20"/>
          <w:szCs w:val="20"/>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our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our board of directors and authorized at an annual or special meeting of stockholders, and not by written consent, by the affirmative vote of at least two thirds of the outstanding voting stock which is not owned by the interested stockholder.</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attempts that might result in a premium over the market price for the shares of common stock held by stockholders.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provisions of Delaware law and the provisions of our amended and restated certificate of incorporation and amended and restated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issuances without stockholder approval, except as required by the listing standards of the Nasdaq Global Select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to the fullest extent permitted by law, the Court of Chancery of the State of Delaware will be the sole and exclusive forum for: (i) any derivative action or proceeding brought on behalf of us; (ii) any action asserting a claim of breach of a fiduciary duty owed by any of our directors, officers or other employees or agents to us or our stockholders; (iii) 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While the Delaware Supreme Court recently determined that such choice of forum provisions are facially valid, a stockholder may nevertheless seek to bring such a claim arising under the Securities Act against us, our directors,</w:t>
      </w:r>
    </w:p>
    <w:p>
      <w:pPr>
        <w:spacing w:after="0" w:line="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officers, employees or agents in a venue other than in the federal district courts of the United States of America.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and may indemnify our employees and other agents, to the fullest extent permitted by Delaware law.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Delaware law prohibits our amended and restated certificate of incorporation from limiting the liability of our directors for the following:</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can purchase insurance on behalf of any person whom we are required or permitted to indemnify.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“QNCX.”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common stock is Equiniti Trust Company, LLP. Its address is 6201 15th Avenue, Brooklyn, NY 11219.</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offer and sell, from time to time, any or all of the shares of common stock being offered for resale by this prospectus, which consists of:</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6,671,928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2,000,000 shares of common stock issuable upon exercise of pre-funded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8,671,928 shares of common stock issuable upon exercise of common stock warrants.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issuance of these securities, see the section titled “Prospectus Summary—Private Placement of Common Stock, Pre-Funded Warrants and Common Stock Warrants.”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have not had any material relationship with us within the past three years, except for: (i) the ownership of our securities; and (ii) Dirk Thye, M.D., our Chief Executive Officer, Chief Medical Officer, and member of our board of directors, Brendan Hannah, our Chief Operating Officer, Chief Business Officer, and Chief Compliance Officer, Charles Ryan, Ph.D., our President, Giovanni Mambrini, our Chief Technology Officer, and Brent Roeck, an employee of our company.</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stockholders” includes the selling stockholders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stockholders, this prospectus covers the resale of the maximum number of shares of common stock issuable upon exercise of the pre-funded warrants and common stock warrants without regard to any limitations on the exercise of such warrants. Under the terms of the pre-funded warrants and common stock warrants held by selling stockholders,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shares common stock following such exercise, excluding for purposes of such determination shares of common stock issuable upon exercise of such warrants which have not been exercised. The shares reported under “Beneficial Ownership Prior to This Offering” and “Number of Shares Being Offered” in the table below do not give effect to any such beneficial ownership limitation.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 beneficial ownership of the shares of common stock by each of the selling stockholders as of June 30, 2025, assuming the full exercise of the pre-funded warrants and warrants held by the selling stockholders on that date, without regard to any limitations on exercises. As of June 30, 2025, we had 53,624,180 shares of common stock issued and outstanding. The following table also provides the number of shares of common stock that may be sold by each selling stockholder under this prospectus and that each selling stockholder will beneficially own assuming all the shares of common stock that may be offered pursuant to this prospectus are sold. Because each selling stockholder may dispose of all, none or some portion of their shares of common stock, no estimate can be given as to the number of shares of common stock that will be beneficially owned by a selling stockholder upon termination of this offering. For purposes of the table below, however, we have assumed that after termination of this offering none of the shares of common stock covered by this prospectus will be beneficially owned by the selling stockholders and further assumed that the selling stockholders will not acquire beneficial ownership of any additional securities during the offering. In addition, the selling stockholders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See the section titled “Plan of Distribution.” Unless otherwise indicated,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address of each of the individuals and entities named below is c/o Quince Therapeutics, Inc., 611 Gateway Boulevard, Suite 273, South San Francisco, California 94080.</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62"/>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3540" w:type="dxa"/>
            <w:vAlign w:val="bottom"/>
            <w:vMerge w:val="restart"/>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16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After This Offering</w:t>
            </w:r>
          </w:p>
        </w:tc>
        <w:tc>
          <w:tcPr>
            <w:tcW w:w="0" w:type="dxa"/>
            <w:vAlign w:val="bottom"/>
          </w:tcPr>
          <w:p>
            <w:pPr>
              <w:spacing w:after="0"/>
              <w:rPr>
                <w:sz w:val="1"/>
                <w:szCs w:val="1"/>
                <w:color w:val="auto"/>
              </w:rPr>
            </w:pPr>
          </w:p>
        </w:tc>
      </w:tr>
      <w:tr>
        <w:trPr>
          <w:trHeight w:val="148"/>
        </w:trPr>
        <w:tc>
          <w:tcPr>
            <w:tcW w:w="176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60" w:type="dxa"/>
            <w:vAlign w:val="bottom"/>
          </w:tcPr>
          <w:p>
            <w:pPr>
              <w:spacing w:after="0"/>
              <w:rPr>
                <w:sz w:val="12"/>
                <w:szCs w:val="12"/>
                <w:color w:val="auto"/>
              </w:rPr>
            </w:pPr>
          </w:p>
        </w:tc>
        <w:tc>
          <w:tcPr>
            <w:tcW w:w="1320" w:type="dxa"/>
            <w:vAlign w:val="bottom"/>
            <w:gridSpan w:val="2"/>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280" w:type="dxa"/>
            <w:vAlign w:val="bottom"/>
            <w:tcBorders>
              <w:top w:val="single" w:sz="8" w:color="auto"/>
            </w:tcBorders>
            <w:gridSpan w:val="2"/>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ADAR1 Partners, LP</w:t>
            </w:r>
            <w:r>
              <w:rPr>
                <w:rFonts w:ascii="Times New Roman" w:cs="Times New Roman" w:eastAsia="Times New Roman" w:hAnsi="Times New Roman"/>
                <w:sz w:val="23"/>
                <w:szCs w:val="23"/>
                <w:color w:val="auto"/>
                <w:vertAlign w:val="superscript"/>
              </w:rPr>
              <w:t>(1)</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2,083,336</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1,940,378</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142,958</w:t>
            </w: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Blackwell Partners LLC – Series A</w:t>
            </w:r>
            <w:r>
              <w:rPr>
                <w:rFonts w:ascii="Times New Roman" w:cs="Times New Roman" w:eastAsia="Times New Roman" w:hAnsi="Times New Roman"/>
                <w:sz w:val="25"/>
                <w:szCs w:val="25"/>
                <w:color w:val="auto"/>
                <w:vertAlign w:val="superscript"/>
              </w:rPr>
              <w:t>(2)</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3,789,238</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3,789,238</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Brendan Hannah</w:t>
            </w:r>
            <w:r>
              <w:rPr>
                <w:rFonts w:ascii="Times New Roman" w:cs="Times New Roman" w:eastAsia="Times New Roman" w:hAnsi="Times New Roman"/>
                <w:sz w:val="25"/>
                <w:szCs w:val="25"/>
                <w:color w:val="auto"/>
                <w:vertAlign w:val="superscript"/>
              </w:rPr>
              <w:t>(3)</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1,174,510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75,472</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1,099,038</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Brent Clements</w:t>
            </w:r>
            <w:r>
              <w:rPr>
                <w:rFonts w:ascii="Times New Roman" w:cs="Times New Roman" w:eastAsia="Times New Roman" w:hAnsi="Times New Roman"/>
                <w:sz w:val="25"/>
                <w:szCs w:val="25"/>
                <w:color w:val="auto"/>
                <w:vertAlign w:val="superscript"/>
              </w:rPr>
              <w:t>(4)</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1,277,970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754,718</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523,252</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Brent Roeck</w:t>
            </w:r>
            <w:r>
              <w:rPr>
                <w:rFonts w:ascii="Times New Roman" w:cs="Times New Roman" w:eastAsia="Times New Roman" w:hAnsi="Times New Roman"/>
                <w:sz w:val="25"/>
                <w:szCs w:val="25"/>
                <w:color w:val="auto"/>
                <w:vertAlign w:val="superscript"/>
              </w:rPr>
              <w:t>(5)</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36,707</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8,000</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28,707</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Charles Ryan, Ph.D.</w:t>
            </w:r>
            <w:r>
              <w:rPr>
                <w:rFonts w:ascii="Times New Roman" w:cs="Times New Roman" w:eastAsia="Times New Roman" w:hAnsi="Times New Roman"/>
                <w:sz w:val="25"/>
                <w:szCs w:val="25"/>
                <w:color w:val="auto"/>
                <w:vertAlign w:val="superscript"/>
              </w:rPr>
              <w:t>(6)</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499,846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15,096</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484,750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Dirk Thye, M.D.</w:t>
            </w:r>
            <w:r>
              <w:rPr>
                <w:rFonts w:ascii="Times New Roman" w:cs="Times New Roman" w:eastAsia="Times New Roman" w:hAnsi="Times New Roman"/>
                <w:sz w:val="25"/>
                <w:szCs w:val="25"/>
                <w:color w:val="auto"/>
                <w:vertAlign w:val="superscript"/>
              </w:rPr>
              <w:t>(7)</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3,846,763</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301,888</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3,544,875</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Giovanni Mambrini</w:t>
            </w:r>
            <w:r>
              <w:rPr>
                <w:rFonts w:ascii="Times New Roman" w:cs="Times New Roman" w:eastAsia="Times New Roman" w:hAnsi="Times New Roman"/>
                <w:sz w:val="25"/>
                <w:szCs w:val="25"/>
                <w:color w:val="auto"/>
                <w:vertAlign w:val="superscript"/>
              </w:rPr>
              <w:t>(8)</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243,463</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37,736</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205,727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Lagfin S.C.A., Lussemburgo, Succursale di Paradiso</w:t>
            </w:r>
            <w:r>
              <w:rPr>
                <w:rFonts w:ascii="Times New Roman" w:cs="Times New Roman" w:eastAsia="Times New Roman" w:hAnsi="Times New Roman"/>
                <w:sz w:val="25"/>
                <w:szCs w:val="25"/>
                <w:color w:val="auto"/>
                <w:vertAlign w:val="superscript"/>
              </w:rPr>
              <w:t>(9)</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1,925,650</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1,056,604</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869,046</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Legend Capital Partners</w:t>
            </w:r>
            <w:r>
              <w:rPr>
                <w:rFonts w:ascii="Times New Roman" w:cs="Times New Roman" w:eastAsia="Times New Roman" w:hAnsi="Times New Roman"/>
                <w:sz w:val="25"/>
                <w:szCs w:val="25"/>
                <w:color w:val="auto"/>
                <w:vertAlign w:val="superscript"/>
              </w:rPr>
              <w:t>(10)</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3,143,076</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1,509,434</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1,633,642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Lytton-Kambara Foundation</w:t>
            </w:r>
            <w:r>
              <w:rPr>
                <w:rFonts w:ascii="Times New Roman" w:cs="Times New Roman" w:eastAsia="Times New Roman" w:hAnsi="Times New Roman"/>
                <w:sz w:val="25"/>
                <w:szCs w:val="25"/>
                <w:color w:val="auto"/>
                <w:vertAlign w:val="superscript"/>
              </w:rPr>
              <w:t>(11)</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2,264,152</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2,264,152</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Nantahala Capital Partners Limited Partnership</w:t>
            </w:r>
            <w:r>
              <w:rPr>
                <w:rFonts w:ascii="Times New Roman" w:cs="Times New Roman" w:eastAsia="Times New Roman" w:hAnsi="Times New Roman"/>
                <w:sz w:val="25"/>
                <w:szCs w:val="25"/>
                <w:color w:val="auto"/>
                <w:vertAlign w:val="superscript"/>
              </w:rPr>
              <w:t>(12)</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2,095,870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2,095,870</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NCP RFM LP</w:t>
            </w:r>
            <w:r>
              <w:rPr>
                <w:rFonts w:ascii="Times New Roman" w:cs="Times New Roman" w:eastAsia="Times New Roman" w:hAnsi="Times New Roman"/>
                <w:sz w:val="25"/>
                <w:szCs w:val="25"/>
                <w:color w:val="auto"/>
                <w:vertAlign w:val="superscript"/>
              </w:rPr>
              <w:t>(13)</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907,346</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907,346</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Pinehurst Partners, L.P.</w:t>
            </w:r>
            <w:r>
              <w:rPr>
                <w:rFonts w:ascii="Times New Roman" w:cs="Times New Roman" w:eastAsia="Times New Roman" w:hAnsi="Times New Roman"/>
                <w:sz w:val="25"/>
                <w:szCs w:val="25"/>
                <w:color w:val="auto"/>
                <w:vertAlign w:val="superscript"/>
              </w:rPr>
              <w:t>(14)</w:t>
            </w:r>
          </w:p>
        </w:tc>
        <w:tc>
          <w:tcPr>
            <w:tcW w:w="18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2,264,150</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2,264,150</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Spearhead Insurance Solutions IDF, LLC – Series ADAR1</w:t>
            </w:r>
            <w:r>
              <w:rPr>
                <w:rFonts w:ascii="Times New Roman" w:cs="Times New Roman" w:eastAsia="Times New Roman" w:hAnsi="Times New Roman"/>
                <w:sz w:val="25"/>
                <w:szCs w:val="25"/>
                <w:color w:val="auto"/>
                <w:vertAlign w:val="superscript"/>
              </w:rPr>
              <w:t>(15)</w:t>
            </w:r>
          </w:p>
        </w:tc>
        <w:tc>
          <w:tcPr>
            <w:tcW w:w="1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323,774</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323,774</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Shares Being Offered</w:t>
            </w: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17,343,856</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26" w:lineRule="exact"/>
        <w:rPr>
          <w:sz w:val="20"/>
          <w:szCs w:val="20"/>
          <w:color w:val="auto"/>
        </w:rPr>
      </w:pPr>
    </w:p>
    <w:p>
      <w:pPr>
        <w:ind w:left="540" w:right="60" w:hanging="424"/>
        <w:spacing w:after="0" w:line="228"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ADAR1 Partners, LP (“ADAR1 Fund”): (i) 970,189 shares of common stock and (ii) 970,189 shares of common stock issuable upon the exercise of common stock warrants. The shares reported also include 142,958 shares of common stock which are not registered for resale by this prospectus. ADAR1 Capital Management, LLC (“ADAR1 Capital Management”) acts as an investment adviser to, and manages investment and trading accounts of, ADAR1 Fund, and ADAR1 Capital Management GP, LLC (“ADAR1 General Partner”) acts as the general partner of ADAR1 Fund. Daniel Schneeberger is the Manager of ADAR1 Capital Management and ADAR1 General Partner and may be deemed to share voting and dispositive power over the shares held by ADAR1 Fund.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ADAR1 Fund is 3503 Wild Cherry Drive, Building 9, Austin, TX 78738.</w:t>
      </w:r>
    </w:p>
    <w:p>
      <w:pPr>
        <w:spacing w:after="0" w:line="86" w:lineRule="exact"/>
        <w:rPr>
          <w:rFonts w:ascii="Times New Roman" w:cs="Times New Roman" w:eastAsia="Times New Roman" w:hAnsi="Times New Roman"/>
          <w:sz w:val="14"/>
          <w:szCs w:val="14"/>
          <w:color w:val="auto"/>
        </w:rPr>
      </w:pPr>
    </w:p>
    <w:p>
      <w:pPr>
        <w:ind w:left="540" w:right="20" w:hanging="424"/>
        <w:spacing w:after="0" w:line="227"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Blackwell Partners LLC—Series A: (i) 642,679 shares of common stock, (ii) 1,251,940 shares of common stock issuable upon the exercise of pre-funded warrants, and (iii) 1,894,619 shares of common stock issuable upon the exercise of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Blackwell Partners LLC—Series A is 280 South Mangum Street, Suite 210, Durham, NC 27701.</w:t>
      </w:r>
    </w:p>
    <w:p>
      <w:pPr>
        <w:spacing w:after="0" w:line="83" w:lineRule="exact"/>
        <w:rPr>
          <w:rFonts w:ascii="Times New Roman" w:cs="Times New Roman" w:eastAsia="Times New Roman" w:hAnsi="Times New Roman"/>
          <w:sz w:val="14"/>
          <w:szCs w:val="14"/>
          <w:color w:val="auto"/>
        </w:rPr>
      </w:pPr>
    </w:p>
    <w:p>
      <w:pPr>
        <w:ind w:left="540" w:hanging="424"/>
        <w:spacing w:after="0" w:line="236"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Brendan Hannah: (i) 37,736 shares of common stock and (ii) 37,736 shares of common stock issuable upon the exercise of common stock warrants. The shares reported also include the following securities which are not registered for resale by this prospectus: (i) 296,540 shares of common stock and (ii) 802,498 shares of common stock subject to stock options held by Mr. Hannah that are exercisable within 60 days of June 30, 2025. The warrants are subject to a beneficial ownership limitation of 9.99%, which such</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4"/>
          <w:szCs w:val="14"/>
          <w:color w:val="auto"/>
        </w:rPr>
        <w:t>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68" w:lineRule="exact"/>
        <w:rPr>
          <w:sz w:val="20"/>
          <w:szCs w:val="20"/>
          <w:color w:val="auto"/>
        </w:rPr>
      </w:pPr>
    </w:p>
    <w:p>
      <w:pPr>
        <w:ind w:left="540" w:right="140" w:hanging="424"/>
        <w:spacing w:after="0" w:line="233"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Brent Clements: (i) 377,359 shares of common stock and (ii) 377,359 shares of common stock issuable upon the exercise of common stock warrants. The shares reported also include 523,252 shares of common stock which are not registered for resale by this prospectus.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Mr. Clements is 22841 Driftstone, Mission Viejo, CA 92682.</w:t>
      </w:r>
    </w:p>
    <w:p>
      <w:pPr>
        <w:spacing w:after="0" w:line="82" w:lineRule="exact"/>
        <w:rPr>
          <w:rFonts w:ascii="Times New Roman" w:cs="Times New Roman" w:eastAsia="Times New Roman" w:hAnsi="Times New Roman"/>
          <w:sz w:val="14"/>
          <w:szCs w:val="14"/>
          <w:color w:val="auto"/>
        </w:rPr>
      </w:pPr>
    </w:p>
    <w:p>
      <w:pPr>
        <w:ind w:left="540" w:hanging="424"/>
        <w:spacing w:after="0" w:line="233"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Brent Roeck: (i) 4,000 shares of common stock and (ii) 4,000 shares of common stock issuable upon the exercise of common stock warrants. The shares reported also include the following securities which are not registered for resale by this prospectus: (i) 1,000 shares of common stock and (ii) 27,707 shares of common stock subject to stock options held by Mr. Roeck that are exercisable within 60 days of June 30, 2025.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82" w:lineRule="exact"/>
        <w:rPr>
          <w:rFonts w:ascii="Times New Roman" w:cs="Times New Roman" w:eastAsia="Times New Roman" w:hAnsi="Times New Roman"/>
          <w:sz w:val="14"/>
          <w:szCs w:val="14"/>
          <w:color w:val="auto"/>
        </w:rPr>
      </w:pPr>
    </w:p>
    <w:p>
      <w:pPr>
        <w:ind w:left="540" w:right="140" w:hanging="424"/>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Charles Ryan, Ph.D.: (i) 7,548 shares of common stock and (ii) 7,548 shares of common stock issuable upon the exercise of common stock warrants. The shares reported also include the following securities which are not registered for resale by this prospectus: (i) 122,461 shares of common stock and (ii) 362,289 shares of common stock subject to stock options held by Dr. Ryan that are exercisable within 60 days of June 30, 2025.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207" w:lineRule="exact"/>
        <w:rPr>
          <w:rFonts w:ascii="Times New Roman" w:cs="Times New Roman" w:eastAsia="Times New Roman" w:hAnsi="Times New Roman"/>
          <w:sz w:val="14"/>
          <w:szCs w:val="14"/>
          <w:color w:val="auto"/>
        </w:rPr>
      </w:pPr>
    </w:p>
    <w:p>
      <w:pPr>
        <w:ind w:left="540" w:right="60" w:hanging="424"/>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Dirk Thye, M.D.: (i) 150,944 shares of common stock and (ii) 150,944 shares of common stock issuable upon the exercise of common stock warrants. The shares reported also include the following securities which are not registered for resale by this prospectus: (i) 843,941 shares of common stock and (ii) 2,700,934 shares of common stock subject to stock options held by Dr. Thye that are exercisable within 60 days of June 30, 2025.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207" w:lineRule="exact"/>
        <w:rPr>
          <w:rFonts w:ascii="Times New Roman" w:cs="Times New Roman" w:eastAsia="Times New Roman" w:hAnsi="Times New Roman"/>
          <w:sz w:val="14"/>
          <w:szCs w:val="14"/>
          <w:color w:val="auto"/>
        </w:rPr>
      </w:pPr>
    </w:p>
    <w:p>
      <w:pPr>
        <w:ind w:left="540" w:right="60" w:hanging="424"/>
        <w:spacing w:after="0"/>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Giovanni Mambrini: (i) 18,868 shares of common stock and (ii) 18,868 shares of common stock issuable upon the exercise of common stock warrants. The shares reported also include the following securities which are not registered for resale by this prospectus: (i) 99,478 shares of common stock and (ii) 106,249 shares of common stock subject to stock options held by Mr. Mambrini that are exercisable within 60 days of June 30, 2025.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w:t>
      </w:r>
    </w:p>
    <w:p>
      <w:pPr>
        <w:spacing w:after="0" w:line="207" w:lineRule="exact"/>
        <w:rPr>
          <w:rFonts w:ascii="Times New Roman" w:cs="Times New Roman" w:eastAsia="Times New Roman" w:hAnsi="Times New Roman"/>
          <w:sz w:val="14"/>
          <w:szCs w:val="14"/>
          <w:color w:val="auto"/>
        </w:rPr>
      </w:pPr>
    </w:p>
    <w:p>
      <w:pPr>
        <w:ind w:left="540" w:right="100" w:hanging="424"/>
        <w:spacing w:after="0" w:line="229"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Lagfin S.C.A., Lussemburgo, Succursale di Paradiso (“Lagfin”): (i) 528,302 shares of common stock and (ii) 528,302 shares of common stock issuable upon the exercise of common stock warrants. The shares reported also include 869,046 shares of common stock held by D.R. Finance S.à.r.l., Lussemburgo, succursale di Paradiso, a subsidiary controlled by Lagfin, which are not registered for resale by this prospectus. Forloni Jacopo and Genovesi Alberto are directors of Lagfin and may be deemed to have shared voting and dispositive power with respect to the shares held by Lagfin.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Lagfin is Palazzo Mantegazza, Riva Paradiso 2, 6900 Paradiso, Switzerland.</w:t>
      </w:r>
    </w:p>
    <w:p>
      <w:pPr>
        <w:spacing w:after="0" w:line="85" w:lineRule="exact"/>
        <w:rPr>
          <w:rFonts w:ascii="Times New Roman" w:cs="Times New Roman" w:eastAsia="Times New Roman" w:hAnsi="Times New Roman"/>
          <w:sz w:val="14"/>
          <w:szCs w:val="14"/>
          <w:color w:val="auto"/>
        </w:rPr>
      </w:pPr>
    </w:p>
    <w:p>
      <w:pPr>
        <w:ind w:left="540" w:right="40" w:hanging="424"/>
        <w:spacing w:after="0" w:line="231"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consist of the following securities purchased in the private placement by Legend Capital Partners: (i) 754,717 shares of common stock and (ii) 754,717 shares of common stock issuable upon the exercise of common stock warrants. The shares reported also include 1,633,642 shares of common stock which are not registered for resale by this prospectus. DeWitt C.Thompson, V is the General Partner of Legend Capital Partners and has sole voting and dispositive power with respect to the shares held by Legend Capital Partners.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Legend Capital Partners is 1245 Bridgestone Blvd., La Vergne, TN 37086.</w:t>
      </w:r>
    </w:p>
    <w:p>
      <w:pPr>
        <w:spacing w:after="0" w:line="82" w:lineRule="exact"/>
        <w:rPr>
          <w:rFonts w:ascii="Times New Roman" w:cs="Times New Roman" w:eastAsia="Times New Roman" w:hAnsi="Times New Roman"/>
          <w:sz w:val="14"/>
          <w:szCs w:val="14"/>
          <w:color w:val="auto"/>
        </w:rPr>
      </w:pPr>
    </w:p>
    <w:p>
      <w:pPr>
        <w:jc w:val="both"/>
        <w:ind w:left="540" w:right="220" w:hanging="424"/>
        <w:spacing w:after="0" w:line="241" w:lineRule="auto"/>
        <w:tabs>
          <w:tab w:leader="none" w:pos="5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the Lytton-Kambara Foundation: (i) 1,132,076 shares of common stock and (ii) 1,132,076 shares of common stock issuable upon the exercise of common stock warrants. Laurence Lytton is the President of the Lytton-Kambara Foundation and has sole</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120"/>
        <w:spacing w:after="0" w:line="241" w:lineRule="auto"/>
        <w:rPr>
          <w:sz w:val="20"/>
          <w:szCs w:val="20"/>
          <w:color w:val="auto"/>
        </w:rPr>
      </w:pPr>
      <w:r>
        <w:rPr>
          <w:rFonts w:ascii="Times New Roman" w:cs="Times New Roman" w:eastAsia="Times New Roman" w:hAnsi="Times New Roman"/>
          <w:sz w:val="14"/>
          <w:szCs w:val="14"/>
          <w:color w:val="auto"/>
        </w:rPr>
        <w:t>voting and dispositive power with respect to the shares held by the Lytton-Kambara Foundation.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the Lytton-Kambara Foundation is 467 Central Park West, 17-A, New York, NY 10025.</w:t>
      </w:r>
    </w:p>
    <w:p>
      <w:pPr>
        <w:spacing w:after="0" w:line="82" w:lineRule="exact"/>
        <w:rPr>
          <w:sz w:val="20"/>
          <w:szCs w:val="20"/>
          <w:color w:val="auto"/>
        </w:rPr>
      </w:pPr>
    </w:p>
    <w:p>
      <w:pPr>
        <w:ind w:left="540" w:right="20" w:hanging="424"/>
        <w:spacing w:after="0" w:line="227"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Nantahala Capital Partners Limited Partnership: (i) 1,047,935 shares of common stock and (ii) 1,047,935 shares of common stock issuable upon the exercise of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Nantahala Capital Partners Limited Partnership is 130 Main St. 2nd Floor, New Canaan, CT 06840.</w:t>
      </w:r>
    </w:p>
    <w:p>
      <w:pPr>
        <w:spacing w:after="0" w:line="87" w:lineRule="exact"/>
        <w:rPr>
          <w:rFonts w:ascii="Times New Roman" w:cs="Times New Roman" w:eastAsia="Times New Roman" w:hAnsi="Times New Roman"/>
          <w:sz w:val="14"/>
          <w:szCs w:val="14"/>
          <w:color w:val="auto"/>
        </w:rPr>
      </w:pPr>
    </w:p>
    <w:p>
      <w:pPr>
        <w:ind w:left="540" w:hanging="424"/>
        <w:spacing w:after="0" w:line="227"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NCP RFM LP: (i) 453,673 shares of common stock and (ii) 453,673 shares of common stock issuable upon the exercise of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NCP RFM LP is 130 Main St. 2nd Floor, New Canaan, CT 06840.</w:t>
      </w:r>
    </w:p>
    <w:p>
      <w:pPr>
        <w:spacing w:after="0" w:line="87" w:lineRule="exact"/>
        <w:rPr>
          <w:rFonts w:ascii="Times New Roman" w:cs="Times New Roman" w:eastAsia="Times New Roman" w:hAnsi="Times New Roman"/>
          <w:sz w:val="14"/>
          <w:szCs w:val="14"/>
          <w:color w:val="auto"/>
        </w:rPr>
      </w:pPr>
    </w:p>
    <w:p>
      <w:pPr>
        <w:ind w:left="540" w:right="20" w:hanging="424"/>
        <w:spacing w:after="0"/>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Pinehurst Partners, L.P.: (i) 384,015 shares of common stock, (ii) 748,060 shares of common stock issuable upon the exercise of pre-funded warrants, and (iii) 1,132,075 shares of common stock issuable upon the exercise of common stock warrants. Nantahala Capital Management, LLC is a Registered Investment Adviser and has been delegated the legal power to vote and/or direct the disposition of such securities on behalf of the selling stockholder as a General Partner, Investment Manager, or Sub-Advisor and would be considered the beneficial owner of such securities. The above shall not be deemed to be an admission by the record owners or the selling stockholder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stockholder.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Pinehurst Partners, L.P. is 1209 Orange Street, Wilmington, DE 19801.</w:t>
      </w:r>
    </w:p>
    <w:p>
      <w:pPr>
        <w:spacing w:after="0" w:line="157" w:lineRule="exact"/>
        <w:rPr>
          <w:rFonts w:ascii="Times New Roman" w:cs="Times New Roman" w:eastAsia="Times New Roman" w:hAnsi="Times New Roman"/>
          <w:sz w:val="14"/>
          <w:szCs w:val="14"/>
          <w:color w:val="auto"/>
        </w:rPr>
      </w:pPr>
    </w:p>
    <w:p>
      <w:pPr>
        <w:ind w:left="540" w:right="60" w:hanging="424"/>
        <w:spacing w:after="0" w:line="229" w:lineRule="auto"/>
        <w:tabs>
          <w:tab w:leader="none" w:pos="5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 the following securities purchased in the private placement by Spearhead Insurance Solutions IDF, LLC – Series ADAR1: (i) 161,887 shares of common stock and (ii) 161,887 shares of common stock issuable upon the exercise of common stock warrants. ADAR1 Capital Management, LLC (“ADAR1 Capital Management”) acts as sub-adviser to, and manages investment and trading accounts of, Spearhead Insurance Solutions IDF, LLC—Series ADAR1. Daniel Schneeberger is the Manager of ADAR1 Capital Management and may be deemed to share voting and dispositive power over the shares held by Spearhead Insurance Solutions IDF, LLC—Series ADAR1. The warrants are subject to a beneficial ownership limitation of 9.99%,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Spearhead Insurance Solutions IDF, LLC – Series ADAR1 is 3828 Kennett Pike, Suite 202, Greenville, DE 19807.</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equityholders of the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3" w:lineRule="exact"/>
        <w:rPr>
          <w:sz w:val="20"/>
          <w:szCs w:val="20"/>
          <w:color w:val="auto"/>
        </w:rPr>
      </w:pPr>
    </w:p>
    <w:p>
      <w:pPr>
        <w:ind w:left="120" w:right="700"/>
        <w:spacing w:after="0" w:line="260" w:lineRule="auto"/>
        <w:rPr>
          <w:sz w:val="20"/>
          <w:szCs w:val="20"/>
          <w:color w:val="auto"/>
        </w:rPr>
      </w:pPr>
      <w:r>
        <w:rPr>
          <w:rFonts w:ascii="Times New Roman" w:cs="Times New Roman" w:eastAsia="Times New Roman" w:hAnsi="Times New Roman"/>
          <w:sz w:val="18"/>
          <w:szCs w:val="18"/>
          <w:color w:val="auto"/>
        </w:rPr>
        <w:t>The selling stockholders also may transfer the shares of common stock in other circumstances, in which case the transferees, pledgees or other successors in interest will be the selling stockholders for purposes of this prospectus.</w:t>
      </w:r>
    </w:p>
    <w:p>
      <w:pPr>
        <w:spacing w:after="0" w:line="18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common warrants or pre-funded warrants by payment of cash, however, we will receive the exercise price of the common warrants or pre-funded warrants, as applicable. Upon any exercise of the common warrants or pre-funded warrants by payment of cash, however, we will receive the exercise price of the common warrants or pre-funded warrants.</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agreed with the selling stockholders to use reasonable best efforts to cause the registration statement of which this prospectus constitutes a part to become effective and to remain continuously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our common stock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Quince Therapeutics, Inc. as of December 31, 2024 and 2023 and for each of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www.quincetx.com.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001-39753):</w:t>
      </w:r>
    </w:p>
    <w:p>
      <w:pPr>
        <w:spacing w:after="0" w:line="93"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24,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13,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from our Definitive Proxy Statement on </w:t>
      </w:r>
      <w:hyperlink r:id="rId47">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23, 2025;</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8">
        <w:r>
          <w:rPr>
            <w:rFonts w:ascii="Times New Roman" w:cs="Times New Roman" w:eastAsia="Times New Roman" w:hAnsi="Times New Roman"/>
            <w:sz w:val="18"/>
            <w:szCs w:val="18"/>
            <w:u w:val="single" w:color="auto"/>
            <w:color w:val="0000EE"/>
          </w:rPr>
          <w:t>June 5, 2025</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June 13, 2025</w:t>
        </w:r>
      </w:hyperlink>
      <w:r>
        <w:rPr>
          <w:rFonts w:ascii="Times New Roman" w:cs="Times New Roman" w:eastAsia="Times New Roman" w:hAnsi="Times New Roman"/>
          <w:sz w:val="18"/>
          <w:szCs w:val="18"/>
          <w:color w:val="auto"/>
        </w:rPr>
        <w:t xml:space="preserve">, and </w:t>
      </w:r>
      <w:hyperlink r:id="rId50">
        <w:r>
          <w:rPr>
            <w:rFonts w:ascii="Times New Roman" w:cs="Times New Roman" w:eastAsia="Times New Roman" w:hAnsi="Times New Roman"/>
            <w:sz w:val="18"/>
            <w:szCs w:val="18"/>
            <w:u w:val="single" w:color="auto"/>
            <w:color w:val="0000EE"/>
          </w:rPr>
          <w:t>July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for Item 7.01 and any exhibits furnished under Item 7.01); and</w:t>
      </w:r>
    </w:p>
    <w:p>
      <w:pPr>
        <w:spacing w:after="0" w:line="67" w:lineRule="exact"/>
        <w:rPr>
          <w:rFonts w:ascii="Times New Roman" w:cs="Times New Roman" w:eastAsia="Times New Roman" w:hAnsi="Times New Roman"/>
          <w:sz w:val="18"/>
          <w:szCs w:val="18"/>
          <w:color w:val="auto"/>
        </w:rPr>
      </w:pPr>
    </w:p>
    <w:p>
      <w:pPr>
        <w:ind w:left="1080" w:right="9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w:t>
      </w:r>
      <w:hyperlink r:id="rId5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filed with the SEC on March 24, 2025.</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910-5717</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0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following table sets forth an estimate of the fees and expenses, other than the underwriting discounts and commissions, payable by us in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connection with the issuance and distribution of the securities being registered. All the amounts shown are estimates, except for the SEC registration fee.</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15,000</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30,000</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20,000</w:t>
            </w:r>
          </w:p>
        </w:tc>
        <w:tc>
          <w:tcPr>
            <w:tcW w:w="8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70,046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fee is calculated based on the securities offered and the number of issuances and accordingly cannot be estimated at this time.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provide for indemnification by the registrant of its directors, officers and employees to the fullest extent permitted by the Delaware General Corporation Law.</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provides for such limitation of liability.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executive officers, or persons controlling us for liability arising under the Securities Act, we have been informed that, in the opinion of the SEC, such indemnification is against public policy as expressed in the Securities Act and is therefore unenforceable.</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20" w:type="dxa"/>
            <w:vAlign w:val="bottom"/>
          </w:tcPr>
          <w:p>
            <w:pPr>
              <w:spacing w:after="0"/>
              <w:rPr>
                <w:sz w:val="20"/>
                <w:szCs w:val="20"/>
                <w:color w:val="auto"/>
              </w:rPr>
            </w:pPr>
          </w:p>
        </w:tc>
        <w:tc>
          <w:tcPr>
            <w:tcW w:w="50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94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8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0"/>
                <w:szCs w:val="10"/>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6"/>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9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6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120" w:type="dxa"/>
            <w:vAlign w:val="bottom"/>
          </w:tcPr>
          <w:p>
            <w:pPr>
              <w:spacing w:after="0"/>
              <w:rPr>
                <w:sz w:val="22"/>
                <w:szCs w:val="22"/>
                <w:color w:val="auto"/>
              </w:rPr>
            </w:pPr>
          </w:p>
        </w:tc>
        <w:tc>
          <w:tcPr>
            <w:tcW w:w="5060" w:type="dxa"/>
            <w:vAlign w:val="bottom"/>
            <w:gridSpan w:val="3"/>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Amended and Restated Certificate of Incorporation</w:t>
              </w:r>
            </w:hyperlink>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001-38890</w:t>
            </w:r>
          </w:p>
        </w:tc>
        <w:tc>
          <w:tcPr>
            <w:tcW w:w="100" w:type="dxa"/>
            <w:vAlign w:val="bottom"/>
          </w:tcPr>
          <w:p>
            <w:pPr>
              <w:spacing w:after="0"/>
              <w:rPr>
                <w:sz w:val="22"/>
                <w:szCs w:val="22"/>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98"/>
              </w:rPr>
              <w:t>5/13/2019</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16"/>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4.2</w:t>
      </w:r>
      <w:hyperlink r:id="rId56">
        <w:r>
          <w:rPr>
            <w:rFonts w:ascii="Times New Roman" w:cs="Times New Roman" w:eastAsia="Times New Roman" w:hAnsi="Times New Roman"/>
            <w:sz w:val="17"/>
            <w:szCs w:val="17"/>
            <w:u w:val="single" w:color="auto"/>
            <w:color w:val="0000EE"/>
          </w:rPr>
          <w:t>Certificate of Amendment to the Amended and Restated Certificate</w:t>
        </w:r>
      </w:hyperlink>
    </w:p>
    <w:p>
      <w:pPr>
        <w:spacing w:after="0" w:line="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0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of Incorporation, effective August 1, 2022</w:t>
              </w:r>
            </w:hyperlink>
          </w:p>
        </w:tc>
        <w:tc>
          <w:tcPr>
            <w:tcW w:w="28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001-38890</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r>
    </w:tbl>
    <w:p>
      <w:pPr>
        <w:spacing w:after="0" w:line="117" w:lineRule="exact"/>
        <w:rPr>
          <w:sz w:val="20"/>
          <w:szCs w:val="20"/>
          <w:color w:val="auto"/>
        </w:rPr>
      </w:pPr>
    </w:p>
    <w:p>
      <w:pPr>
        <w:ind w:left="200" w:hanging="84"/>
        <w:spacing w:after="0"/>
        <w:tabs>
          <w:tab w:leader="none" w:pos="200" w:val="left"/>
        </w:tabs>
        <w:numPr>
          <w:ilvl w:val="0"/>
          <w:numId w:val="17"/>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4.3</w:t>
      </w:r>
      <w:hyperlink r:id="rId57">
        <w:r>
          <w:rPr>
            <w:rFonts w:ascii="Times New Roman" w:cs="Times New Roman" w:eastAsia="Times New Roman" w:hAnsi="Times New Roman"/>
            <w:sz w:val="17"/>
            <w:szCs w:val="17"/>
            <w:u w:val="single" w:color="auto"/>
            <w:color w:val="0000EE"/>
          </w:rPr>
          <w:t>Certificate of Amendment to the Amended and Restated Certificate</w:t>
        </w:r>
      </w:hyperlink>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760" w:type="dxa"/>
            <w:vAlign w:val="bottom"/>
            <w:gridSpan w:val="10"/>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of Incorporation, effective June 5, 2025</w:t>
              </w:r>
            </w:hyperlink>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DEF 14A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Appendix A</w:t>
            </w:r>
          </w:p>
        </w:tc>
        <w:tc>
          <w:tcPr>
            <w:tcW w:w="15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4/23/2025</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284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Amended and Restated Bylaws</w:t>
              </w:r>
            </w:hyperlink>
          </w:p>
        </w:tc>
        <w:tc>
          <w:tcPr>
            <w:tcW w:w="9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8/1/2022</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22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Specimen Stock Certificate</w:t>
              </w:r>
            </w:hyperlink>
          </w:p>
        </w:tc>
        <w:tc>
          <w:tcPr>
            <w:tcW w:w="152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333-230853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4/29/2019</w:t>
            </w: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3760" w:type="dxa"/>
            <w:vAlign w:val="bottom"/>
            <w:gridSpan w:val="10"/>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Form of Pre-Funded Warrant</w:t>
              </w:r>
            </w:hyperlink>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06/13/2025</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19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Form of Common Warrant</w:t>
              </w:r>
            </w:hyperlink>
          </w:p>
        </w:tc>
        <w:tc>
          <w:tcPr>
            <w:tcW w:w="120" w:type="dxa"/>
            <w:vAlign w:val="bottom"/>
            <w:tcBorders>
              <w:top w:val="single" w:sz="8" w:color="0000EE"/>
            </w:tcBorders>
            <w:gridSpan w:val="2"/>
          </w:tcPr>
          <w:p>
            <w:pPr>
              <w:spacing w:after="0"/>
              <w:rPr>
                <w:sz w:val="24"/>
                <w:szCs w:val="24"/>
                <w:color w:val="auto"/>
              </w:rPr>
            </w:pPr>
          </w:p>
        </w:tc>
        <w:tc>
          <w:tcPr>
            <w:tcW w:w="168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06/13/2025</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Cooley LLP</w:t>
            </w:r>
          </w:p>
        </w:tc>
        <w:tc>
          <w:tcPr>
            <w:tcW w:w="204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Form of Securities Purchase Agreement, dated June</w:t>
              </w:r>
            </w:hyperlink>
          </w:p>
        </w:tc>
        <w:tc>
          <w:tcPr>
            <w:tcW w:w="960" w:type="dxa"/>
            <w:vAlign w:val="bottom"/>
            <w:tcBorders>
              <w:bottom w:val="single" w:sz="8" w:color="0000EE"/>
            </w:tcBorders>
            <w:gridSpan w:val="5"/>
          </w:tcPr>
          <w:p>
            <w:pPr>
              <w:ind w:left="60"/>
              <w:spacing w:after="0"/>
              <w:rPr>
                <w:rFonts w:ascii="Times New Roman" w:cs="Times New Roman" w:eastAsia="Times New Roman" w:hAnsi="Times New Roman"/>
                <w:sz w:val="18"/>
                <w:szCs w:val="18"/>
                <w:color w:val="0000EE"/>
                <w:w w:val="97"/>
              </w:rPr>
            </w:pPr>
            <w:hyperlink r:id="rId62">
              <w:r>
                <w:rPr>
                  <w:rFonts w:ascii="Times New Roman" w:cs="Times New Roman" w:eastAsia="Times New Roman" w:hAnsi="Times New Roman"/>
                  <w:sz w:val="18"/>
                  <w:szCs w:val="18"/>
                  <w:color w:val="0000EE"/>
                  <w:w w:val="97"/>
                </w:rPr>
                <w:t>12, 2025, by</w:t>
              </w:r>
            </w:hyperlink>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960" w:type="dxa"/>
            <w:vAlign w:val="bottom"/>
            <w:gridSpan w:val="16"/>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and among Quince Therapeutics, Inc. and each of the several</w:t>
              </w:r>
            </w:hyperlink>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purchasers signatory thereto.</w:t>
              </w:r>
            </w:hyperlink>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580" w:type="dxa"/>
            <w:vAlign w:val="bottom"/>
          </w:tcPr>
          <w:p>
            <w:pPr>
              <w:jc w:val="center"/>
              <w:ind w:right="390"/>
              <w:spacing w:after="0" w:line="196" w:lineRule="exact"/>
              <w:rPr>
                <w:sz w:val="20"/>
                <w:szCs w:val="20"/>
                <w:color w:val="auto"/>
              </w:rPr>
            </w:pPr>
            <w:r>
              <w:rPr>
                <w:rFonts w:ascii="Times New Roman" w:cs="Times New Roman" w:eastAsia="Times New Roman" w:hAnsi="Times New Roman"/>
                <w:sz w:val="18"/>
                <w:szCs w:val="18"/>
                <w:color w:val="auto"/>
                <w:w w:val="99"/>
              </w:rPr>
              <w:t>06/13/2025</w:t>
            </w: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760" w:type="dxa"/>
            <w:vAlign w:val="bottom"/>
            <w:gridSpan w:val="10"/>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Form of Registration Rights Agreement, dated June</w:t>
              </w:r>
            </w:hyperlink>
          </w:p>
        </w:tc>
        <w:tc>
          <w:tcPr>
            <w:tcW w:w="2200" w:type="dxa"/>
            <w:vAlign w:val="bottom"/>
            <w:gridSpan w:val="6"/>
          </w:tcPr>
          <w:p>
            <w:pPr>
              <w:ind w:left="40"/>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12, 2025, by</w:t>
              </w:r>
            </w:hyperlink>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7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and among Quince Therapeutics, Inc. and each of the several</w:t>
              </w:r>
            </w:hyperlink>
          </w:p>
        </w:tc>
        <w:tc>
          <w:tcPr>
            <w:tcW w:w="12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purchasers signatory thereto.</w:t>
              </w:r>
            </w:hyperlink>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001-38890</w:t>
            </w:r>
          </w:p>
        </w:tc>
        <w:tc>
          <w:tcPr>
            <w:tcW w:w="11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1580" w:type="dxa"/>
            <w:vAlign w:val="bottom"/>
          </w:tcPr>
          <w:p>
            <w:pPr>
              <w:jc w:val="center"/>
              <w:ind w:right="390"/>
              <w:spacing w:after="0" w:line="196" w:lineRule="exact"/>
              <w:rPr>
                <w:sz w:val="20"/>
                <w:szCs w:val="20"/>
                <w:color w:val="auto"/>
              </w:rPr>
            </w:pPr>
            <w:r>
              <w:rPr>
                <w:rFonts w:ascii="Times New Roman" w:cs="Times New Roman" w:eastAsia="Times New Roman" w:hAnsi="Times New Roman"/>
                <w:sz w:val="18"/>
                <w:szCs w:val="18"/>
                <w:color w:val="auto"/>
                <w:w w:val="99"/>
              </w:rPr>
              <w:t>06/13/2025</w:t>
            </w: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8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164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9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Registration Statement)</w:t>
            </w:r>
          </w:p>
        </w:tc>
        <w:tc>
          <w:tcPr>
            <w:tcW w:w="2060" w:type="dxa"/>
            <w:vAlign w:val="bottom"/>
            <w:tcBorders>
              <w:top w:val="single" w:sz="8" w:color="0000EE"/>
            </w:tcBorders>
            <w:gridSpan w:val="8"/>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ind w:left="1440"/>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85"/>
        </w:trPr>
        <w:tc>
          <w:tcPr>
            <w:tcW w:w="88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II-2</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60" w:hanging="439"/>
        <w:spacing w:after="0" w:line="255" w:lineRule="auto"/>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10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1080" w:right="2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30"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statement made in a registration statement or prospectus that is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or made in a document incorporated or deemed incorporated by reference into the registration statement or prospectus that is part of the registration statement will, as to a</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220"/>
        <w:spacing w:after="0" w:line="266" w:lineRule="auto"/>
        <w:rPr>
          <w:sz w:val="20"/>
          <w:szCs w:val="20"/>
          <w:color w:val="auto"/>
        </w:rPr>
      </w:pPr>
      <w:r>
        <w:rPr>
          <w:rFonts w:ascii="Times New Roman" w:cs="Times New Roman" w:eastAsia="Times New Roman" w:hAnsi="Times New Roman"/>
          <w:sz w:val="18"/>
          <w:szCs w:val="18"/>
          <w:color w:val="auto"/>
        </w:rPr>
        <w:t>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sz w:val="20"/>
          <w:szCs w:val="20"/>
          <w:color w:val="auto"/>
        </w:rPr>
      </w:pPr>
    </w:p>
    <w:p>
      <w:pPr>
        <w:ind w:left="1080" w:hanging="532"/>
        <w:spacing w:after="0" w:line="258"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540" w:right="14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540" w:right="500" w:hanging="439"/>
        <w:spacing w:after="0" w:line="282" w:lineRule="auto"/>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8"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July 25, 2025.</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IRK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HYE</w:t>
      </w:r>
      <w:r>
        <w:rPr>
          <w:rFonts w:ascii="Times New Roman" w:cs="Times New Roman" w:eastAsia="Times New Roman" w:hAnsi="Times New Roman"/>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Dirk Thye, M.D.</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Chief Medical Officer</w:t>
      </w: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Dirk Thye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Brendan Hannah,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Quince Therapeutics,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ratifying and confirming all that said attorneys-in-fact and agents, or any of them, or their substitutes or substitute, may lawfully do or cause to be done by virtue hereof.</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IRK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HYE</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Chief Medical Officer, and 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Dirk Thye, M.D.</w:t>
            </w:r>
          </w:p>
        </w:tc>
        <w:tc>
          <w:tcPr>
            <w:tcW w:w="100" w:type="dxa"/>
            <w:vAlign w:val="bottom"/>
          </w:tcPr>
          <w:p>
            <w:pPr>
              <w:spacing w:after="0"/>
              <w:rPr>
                <w:sz w:val="19"/>
                <w:szCs w:val="19"/>
                <w:color w:val="auto"/>
              </w:rPr>
            </w:pPr>
          </w:p>
        </w:tc>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B</w:t>
            </w:r>
            <w:r>
              <w:rPr>
                <w:rFonts w:ascii="Times New Roman" w:cs="Times New Roman" w:eastAsia="Times New Roman" w:hAnsi="Times New Roman"/>
                <w:sz w:val="14"/>
                <w:szCs w:val="14"/>
                <w:color w:val="auto"/>
              </w:rPr>
              <w:t>RENDAN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ANNAH</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xml:space="preserve">Chief Business Officer and Chief Operating Officer </w:t>
            </w:r>
            <w:r>
              <w:rPr>
                <w:rFonts w:ascii="Times New Roman" w:cs="Times New Roman" w:eastAsia="Times New Roman" w:hAnsi="Times New Roman"/>
                <w:sz w:val="18"/>
                <w:szCs w:val="18"/>
                <w:i w:val="1"/>
                <w:iCs w:val="1"/>
                <w:color w:val="auto"/>
                <w:w w:val="99"/>
              </w:rPr>
              <w:t>(Principal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Brendan Hannah</w:t>
            </w:r>
          </w:p>
        </w:tc>
        <w:tc>
          <w:tcPr>
            <w:tcW w:w="100" w:type="dxa"/>
            <w:vAlign w:val="bottom"/>
          </w:tcPr>
          <w:p>
            <w:pPr>
              <w:spacing w:after="0"/>
              <w:rPr>
                <w:sz w:val="19"/>
                <w:szCs w:val="19"/>
                <w:color w:val="auto"/>
              </w:rPr>
            </w:pPr>
          </w:p>
        </w:tc>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Financial and Principal Accounting Officer)</w:t>
            </w: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AMOND</w:t>
            </w:r>
          </w:p>
        </w:tc>
        <w:tc>
          <w:tcPr>
            <w:tcW w:w="100" w:type="dxa"/>
            <w:vAlign w:val="bottom"/>
          </w:tcPr>
          <w:p>
            <w:pPr>
              <w:spacing w:after="0"/>
              <w:rPr>
                <w:sz w:val="24"/>
                <w:szCs w:val="24"/>
                <w:color w:val="auto"/>
              </w:rPr>
            </w:pPr>
          </w:p>
        </w:tc>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A. Lamond</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L</w:t>
            </w:r>
            <w:r>
              <w:rPr>
                <w:rFonts w:ascii="Times New Roman" w:cs="Times New Roman" w:eastAsia="Times New Roman" w:hAnsi="Times New Roman"/>
                <w:sz w:val="14"/>
                <w:szCs w:val="14"/>
                <w:color w:val="auto"/>
              </w:rPr>
              <w:t>UCA</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ENATTI</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H</w:t>
            </w:r>
            <w:r>
              <w:rPr>
                <w:rFonts w:ascii="Times New Roman" w:cs="Times New Roman" w:eastAsia="Times New Roman" w:hAnsi="Times New Roman"/>
                <w:sz w:val="18"/>
                <w:szCs w:val="18"/>
                <w:color w:val="auto"/>
              </w:rPr>
              <w:t>.D.</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Luca Benatti, Ph.D.</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UNE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RAY</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Bray</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4"/>
                <w:szCs w:val="14"/>
                <w:color w:val="auto"/>
              </w:rPr>
              <w:t>OUGHLIN</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Margaret McLoughlin, Ph.D.</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AJIV</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ATNI</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Rajiv Patni</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U</w:t>
            </w:r>
            <w:r>
              <w:rPr>
                <w:rFonts w:ascii="Times New Roman" w:cs="Times New Roman" w:eastAsia="Times New Roman" w:hAnsi="Times New Roman"/>
                <w:sz w:val="14"/>
                <w:szCs w:val="14"/>
                <w:color w:val="auto"/>
              </w:rPr>
              <w:t>NA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YAN</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Una Ryan, OBE, Ph.D.</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7"/>
        </w:trPr>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HRISTOPHER</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4"/>
                <w:szCs w:val="14"/>
                <w:color w:val="auto"/>
              </w:rPr>
              <w:t>ENNER</w:t>
            </w:r>
          </w:p>
        </w:tc>
        <w:tc>
          <w:tcPr>
            <w:tcW w:w="100" w:type="dxa"/>
            <w:vAlign w:val="bottom"/>
          </w:tcPr>
          <w:p>
            <w:pPr>
              <w:spacing w:after="0"/>
              <w:rPr>
                <w:sz w:val="24"/>
                <w:szCs w:val="24"/>
                <w:color w:val="auto"/>
              </w:rPr>
            </w:pPr>
          </w:p>
        </w:tc>
        <w:tc>
          <w:tcPr>
            <w:tcW w:w="5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2025</w:t>
            </w:r>
          </w:p>
        </w:tc>
      </w:tr>
      <w:tr>
        <w:trPr>
          <w:trHeight w:val="228"/>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Christopher J. Senner</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0"/>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Gordon Ho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+1 650 843 5190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gho@cooley.com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Quince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 Gateway Boulevard, Suite 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have acted as counsel to Quince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including a related prospectus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covering the registration for resale of up to 17,343,856 shares of the common stock, $0.001 par value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the Company consisting of (a) 6,671,928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that are currently outstanding, (b) up to 2,000,000 shares of Common Stock (the “</w:t>
      </w:r>
      <w:r>
        <w:rPr>
          <w:rFonts w:ascii="Times New Roman" w:cs="Times New Roman" w:eastAsia="Times New Roman" w:hAnsi="Times New Roman"/>
          <w:sz w:val="18"/>
          <w:szCs w:val="18"/>
          <w:b w:val="1"/>
          <w:bCs w:val="1"/>
          <w:i w:val="1"/>
          <w:iCs w:val="1"/>
          <w:color w:val="auto"/>
        </w:rPr>
        <w:t>Pre-Funded Warrant Shares</w:t>
      </w:r>
      <w:r>
        <w:rPr>
          <w:rFonts w:ascii="Times New Roman" w:cs="Times New Roman" w:eastAsia="Times New Roman" w:hAnsi="Times New Roman"/>
          <w:sz w:val="18"/>
          <w:szCs w:val="18"/>
          <w:color w:val="auto"/>
        </w:rPr>
        <w:t>”) issuable upon the exercise of outstanding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and (c) up to 8,671,928 shares of Common Stock (together with the Pre-Funded Warrant Shares,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issuable upon the exercise of outstanding common warrants (together with the Pre-Funded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The Shares and the Warrants were issued by the Company pursuant to that certain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dated June 12, 2025.</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the Prospectus, the Purchase Agreement,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antifraud law, rule or regulation relating to securities or to the sale or issuance thereof.</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payable upon exercise price of the Warrants is adjusted to an amount below the par value per share of the Common Stock.</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 qualifications, limitations and exceptions set forth herein, we are of the opinion that (i) the Shares are validly issued, fully paid and nonassessable, and (ii) the Warrant Shares, when issued and paid for in accordance with the terms of the Warrants, will be validly issued, fully paid and nonassessable.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1020"/>
          </w:cols>
          <w:pgMar w:left="440" w:top="117"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Quince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5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OOLEY</w:t>
      </w:r>
      <w:r>
        <w:rPr>
          <w:rFonts w:ascii="Times New Roman" w:cs="Times New Roman" w:eastAsia="Times New Roman" w:hAnsi="Times New Roman"/>
          <w:sz w:val="18"/>
          <w:szCs w:val="18"/>
          <w:b w:val="1"/>
          <w:bCs w:val="1"/>
          <w:color w:val="auto"/>
        </w:rPr>
        <w:t xml:space="preserve"> LLP</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/s/ Gordon Ho 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-7620</wp:posOffset>
            </wp:positionV>
            <wp:extent cx="11106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Gordon Ho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3175 Hanover Street  Palo Alto, CA  94304-1130</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(650) 843-5000  F: (650) 849-7400  cooley.com</w:t>
      </w:r>
    </w:p>
    <w:p>
      <w:pPr>
        <w:sectPr>
          <w:pgSz w:w="11900" w:h="16838" w:orient="portrait"/>
          <w:cols w:equalWidth="0" w:num="1">
            <w:col w:w="10980"/>
          </w:cols>
          <w:pgMar w:left="440" w:top="1080" w:right="4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of our report dated March 24, 2025, relating to the consolidated financial statements of Quince Therapeutics, Inc. (the Company) appearing in the Company’s Annual Report on Form 10-K for the year ended December 31, 2024. Our report contains an explanatory paragraph regarding the Company’s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2025</w:t>
      </w:r>
    </w:p>
    <w:p>
      <w:pPr>
        <w:sectPr>
          <w:pgSz w:w="11900" w:h="16838" w:orient="portrait"/>
          <w:cols w:equalWidth="0" w:num="1">
            <w:col w:w="11020"/>
          </w:cols>
          <w:pgMar w:left="440"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22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(Form Type)</w:t>
      </w:r>
    </w:p>
    <w:p>
      <w:pPr>
        <w:spacing w:after="0" w:line="22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Quince Therapeutics, Inc.</w:t>
      </w:r>
    </w:p>
    <w:p>
      <w:pPr>
        <w:spacing w:after="0" w:line="22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1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20" w:type="dxa"/>
            <w:vAlign w:val="bottom"/>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10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or Carry</w:t>
            </w:r>
          </w:p>
        </w:tc>
        <w:tc>
          <w:tcPr>
            <w:tcW w:w="20" w:type="dxa"/>
            <w:vAlign w:val="bottom"/>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8"/>
              </w:rPr>
              <w:t>Offering</w:t>
            </w:r>
          </w:p>
        </w:tc>
        <w:tc>
          <w:tcPr>
            <w:tcW w:w="11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20" w:type="dxa"/>
            <w:vAlign w:val="bottom"/>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1400" w:type="dxa"/>
            <w:vAlign w:val="bottom"/>
            <w:tcBorders>
              <w:left w:val="single" w:sz="8" w:color="auto"/>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18"/>
                <w:szCs w:val="18"/>
                <w:color w:val="auto"/>
              </w:rPr>
              <w:t>Fees to Be Paid</w:t>
            </w:r>
          </w:p>
        </w:tc>
        <w:tc>
          <w:tcPr>
            <w:tcW w:w="68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0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 xml:space="preserve">17,343,856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t>
            </w:r>
          </w:p>
        </w:tc>
        <w:tc>
          <w:tcPr>
            <w:tcW w:w="7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2"/>
              </w:rPr>
              <w:t>$1.90</w:t>
            </w:r>
            <w:r>
              <w:rPr>
                <w:rFonts w:ascii="Times New Roman" w:cs="Times New Roman" w:eastAsia="Times New Roman" w:hAnsi="Times New Roman"/>
                <w:sz w:val="26"/>
                <w:szCs w:val="26"/>
                <w:color w:val="auto"/>
                <w:w w:val="92"/>
                <w:vertAlign w:val="superscript"/>
              </w:rPr>
              <w:t>(2)</w:t>
            </w:r>
          </w:p>
        </w:tc>
        <w:tc>
          <w:tcPr>
            <w:tcW w:w="11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9"/>
              </w:rPr>
              <w:t>$32,953,326</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18"/>
                <w:szCs w:val="18"/>
                <w:color w:val="auto"/>
                <w:w w:val="99"/>
              </w:rPr>
              <w:t xml:space="preserve"> </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$0.00015310 </w:t>
            </w:r>
          </w:p>
        </w:tc>
        <w:tc>
          <w:tcPr>
            <w:tcW w:w="90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1"/>
              </w:rPr>
              <w:t xml:space="preserve">$5,046 </w:t>
            </w:r>
            <w:r>
              <w:rPr>
                <w:rFonts w:ascii="Times New Roman" w:cs="Times New Roman" w:eastAsia="Times New Roman" w:hAnsi="Times New Roman"/>
                <w:sz w:val="26"/>
                <w:szCs w:val="26"/>
                <w:color w:val="auto"/>
                <w:w w:val="91"/>
                <w:vertAlign w:val="superscript"/>
              </w:rPr>
              <w:t>(2)</w:t>
            </w: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1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$32,953,326</w:t>
            </w:r>
          </w:p>
        </w:tc>
        <w:tc>
          <w:tcPr>
            <w:tcW w:w="10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8"/>
                <w:szCs w:val="18"/>
                <w:color w:val="auto"/>
              </w:rPr>
              <w:t>Net Fee Due</w:t>
            </w:r>
          </w:p>
        </w:tc>
        <w:tc>
          <w:tcPr>
            <w:tcW w:w="11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540" w:hanging="439"/>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17,343,856 shares of the Registrant’s common stock registered for resale by the selling stockholders named in this registration statement.</w:t>
      </w:r>
    </w:p>
    <w:p>
      <w:pPr>
        <w:spacing w:after="0" w:line="67" w:lineRule="exact"/>
        <w:rPr>
          <w:rFonts w:ascii="Times New Roman" w:cs="Times New Roman" w:eastAsia="Times New Roman" w:hAnsi="Times New Roman"/>
          <w:sz w:val="18"/>
          <w:szCs w:val="18"/>
          <w:color w:val="auto"/>
        </w:rPr>
      </w:pPr>
    </w:p>
    <w:p>
      <w:pPr>
        <w:ind w:left="540" w:right="20" w:hanging="439"/>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457(c) under the Securities Act, the registration fee has been calculated based upon the average of the high and low prices, as reported by The Nasdaq Global Select Market, for shares of the Registrant’s common stock on July 21, 2025.</w:t>
      </w:r>
    </w:p>
    <w:sectPr>
      <w:pgSz w:w="11900" w:h="16838" w:orient="portrait"/>
      <w:cols w:equalWidth="0" w:num="1">
        <w:col w:w="10140"/>
      </w:cols>
      <w:pgMar w:left="1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415"/>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
      <w:numFmt w:val="bullet"/>
      <w:start w:val="1"/>
    </w:lvl>
  </w:abstractNum>
  <w:abstractNum w:abstractNumId="16">
    <w:nsid w:val="257130A3"/>
    <w:multiLevelType w:val="hybridMultilevel"/>
    <w:lvl w:ilvl="0">
      <w:lvlJc w:val="left"/>
      <w:lvlText w:val=" "/>
      <w:numFmt w:val="bullet"/>
      <w:start w:val="1"/>
    </w:lvl>
  </w:abstractNum>
  <w:abstractNum w:abstractNumId="17">
    <w:nsid w:val="62BBD9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
    <w:nsid w:val="436C6125"/>
    <w:multiLevelType w:val="hybridMultilevel"/>
    <w:lvl w:ilvl="0">
      <w:lvlJc w:val="left"/>
      <w:lvlText w:val="(%1)"/>
      <w:numFmt w:val="decimal"/>
      <w:start w:val="2"/>
    </w:lvl>
    <w:lvl w:ilvl="1">
      <w:lvlJc w:val="left"/>
      <w:lvlText w:val="(%2)"/>
      <w:numFmt w:val="lowerRoman"/>
      <w:start w:val="1"/>
    </w:lvl>
  </w:abstractNum>
  <w:abstractNum w:abstractNumId="19">
    <w:nsid w:val="628C895D"/>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0">
    <w:nsid w:val="333AB1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jpeg"/><Relationship Id="rId70" Type="http://schemas.openxmlformats.org/officeDocument/2006/relationships/image" Target="media/image47.png"/><Relationship Id="rId71" Type="http://schemas.openxmlformats.org/officeDocument/2006/relationships/image" Target="media/image48.jpeg"/><Relationship Id="rId72" Type="http://schemas.openxmlformats.org/officeDocument/2006/relationships/image" Target="media/image49.png"/><Relationship Id="rId45" Type="http://schemas.openxmlformats.org/officeDocument/2006/relationships/hyperlink" Target="http://www.sec.gov/ix?doc=/Archives/edgar/data/0001662774/000166277425000012/qncx-20241231.htm" TargetMode="External"/><Relationship Id="rId46" Type="http://schemas.openxmlformats.org/officeDocument/2006/relationships/hyperlink" Target="http://www.sec.gov/ix?doc=/Archives/edgar/data/0001662774/000166277425000032/qncx-20250331.htm" TargetMode="External"/><Relationship Id="rId47" Type="http://schemas.openxmlformats.org/officeDocument/2006/relationships/hyperlink" Target="http://www.sec.gov/ix?doc=/Archives/edgar/data/0001662774/000166277425000025/qncx-20250423.htm" TargetMode="External"/><Relationship Id="rId48" Type="http://schemas.openxmlformats.org/officeDocument/2006/relationships/hyperlink" Target="http://www.sec.gov/ix?doc=/Archives/edgar/data/0001662774/000166277425000034/qncx-20250604.htm" TargetMode="External"/><Relationship Id="rId49" Type="http://schemas.openxmlformats.org/officeDocument/2006/relationships/hyperlink" Target="http://www.sec.gov/ix?doc=/Archives/edgar/data/0001662774/000119312525140873/d31831d8k.htm" TargetMode="External"/><Relationship Id="rId50" Type="http://schemas.openxmlformats.org/officeDocument/2006/relationships/hyperlink" Target="http://www.sec.gov/ix?doc=/Archives/edgar/data/0001662774/000119312525159886/d71020d8k.htm" TargetMode="External"/><Relationship Id="rId51" Type="http://schemas.openxmlformats.org/officeDocument/2006/relationships/hyperlink" Target="http://www.sec.gov/Archives/edgar/data/1662774/000166277425000012/exhibit43-descriptionofsec.htm" TargetMode="External"/><Relationship Id="rId55" Type="http://schemas.openxmlformats.org/officeDocument/2006/relationships/hyperlink" Target="http://www.sec.gov/Archives/edgar/data/1662774/000119312519145468/d747357dex31.htm" TargetMode="External"/><Relationship Id="rId56" Type="http://schemas.openxmlformats.org/officeDocument/2006/relationships/hyperlink" Target="http://www.sec.gov/Archives/edgar/data/1662774/000119312522207867/d346512dex31.htm" TargetMode="External"/><Relationship Id="rId57" Type="http://schemas.openxmlformats.org/officeDocument/2006/relationships/hyperlink" Target="http://www.sec.gov/ix?doc=/Archives/edgar/data/0001662774/000166277425000025/qncx-20250423.htm#i5d53252f8ea1466d885d39d7a1d9c62f_85" TargetMode="External"/><Relationship Id="rId58" Type="http://schemas.openxmlformats.org/officeDocument/2006/relationships/hyperlink" Target="http://www.sec.gov/Archives/edgar/data/1662774/000119312522207867/d346512dex32.htm" TargetMode="External"/><Relationship Id="rId59" Type="http://schemas.openxmlformats.org/officeDocument/2006/relationships/hyperlink" Target="http://www.sec.gov/Archives/edgar/data/1662774/000119312519123571/d703513dex41.htm" TargetMode="External"/><Relationship Id="rId60" Type="http://schemas.openxmlformats.org/officeDocument/2006/relationships/hyperlink" Target="http://www.sec.gov/Archives/edgar/data/1662774/000119312525140873/d31831dex41.htm" TargetMode="External"/><Relationship Id="rId61" Type="http://schemas.openxmlformats.org/officeDocument/2006/relationships/hyperlink" Target="http://www.sec.gov/Archives/edgar/data/1662774/000119312525140873/d31831dex42.htm" TargetMode="External"/><Relationship Id="rId62" Type="http://schemas.openxmlformats.org/officeDocument/2006/relationships/hyperlink" Target="http://www.sec.gov/Archives/edgar/data/0001662774/000119312525140873/d31831dex101.htm" TargetMode="External"/><Relationship Id="rId63" Type="http://schemas.openxmlformats.org/officeDocument/2006/relationships/hyperlink" Target="http://www.sec.gov/Archives/edgar/data/0001662774/000119312525140873/d3183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2025-07-25T16:17:36Z</dcterms:created>
  <dcterms:modified xsi:type="dcterms:W3CDTF">2025-07-25T16:17:36Z</dcterms:modified>
</cp:coreProperties>
</file>