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Senner Christopher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QUINCE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 GATEWAY BLVD, SUITE 273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Quince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QNCX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35,274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vest in equal quarterly installments over a one year-period. The Reporting Person elected to receive the stock options in lieu of the annual director cash retainer for 2025 provided for under the Issuer's Outside Director Compensation Policy.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Brendan Hannah,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8367" TargetMode="External"/><Relationship Id="rId14" Type="http://schemas.openxmlformats.org/officeDocument/2006/relationships/hyperlink" Target="http://www.sec.gov/cgi-bin/browse-edgar?action=getcompany&amp;CIK=0001662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2025-01-08T18:34:32Z</dcterms:created>
  <dcterms:modified xsi:type="dcterms:W3CDTF">2025-01-08T18:34:32Z</dcterms:modified>
</cp:coreProperties>
</file>