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930d8ka.htm"/>
      <w:bookmarkStart w:id="1" w:name="ksd163930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May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QUINCE THERAPEUTICS, INC.</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spacing w:val="0"/>
              </w:rPr>
            </w:pPr>
            <w:r>
              <w:rPr>
                <w:b/>
                <w:spacing w:val="0"/>
              </w:rPr>
              <w:t>Delaware</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spacing w:val="0"/>
              </w:rPr>
            </w:pPr>
            <w:r>
              <w:rPr>
                <w:spacing w:val="0"/>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spacing w:val="0"/>
              </w:rPr>
            </w:pPr>
            <w:r>
              <w:rPr>
                <w:spacing w:val="0"/>
              </w:rPr>
              <w:t>90-1024039</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611 Gateway Boulevard, Suite 273</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94080</w:t>
            </w:r>
          </w:p>
        </w:tc>
      </w:tr>
      <w:tr>
        <w:trPr/>
        <w:tc>
          <w:tcPr>
            <w:tcW w:w="3934"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(415)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910-5717</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240.13d-4(c))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4430"/>
        <w:gridCol w:w="60"/>
        <w:gridCol w:w="740"/>
        <w:gridCol w:w="60"/>
        <w:gridCol w:w="3020"/>
      </w:tblGrid>
      <w:tr>
        <w:trPr/>
        <w:tc>
          <w:tcPr>
            <w:tcW w:w="4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30" w:type="dxa"/>
            <w:tcBorders/>
            <w:vAlign w:val="center"/>
          </w:tcPr>
          <w:p>
            <w:pPr>
              <w:pStyle w:val="TableContents"/>
              <w:bidi w:val="0"/>
              <w:spacing w:before="0" w:after="0"/>
              <w:jc w:val="center"/>
              <w:rPr>
                <w:b/>
                <w:spacing w:val="0"/>
              </w:rPr>
            </w:pPr>
            <w:r>
              <w:rPr>
                <w:b/>
                <w:spacing w:val="0"/>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QNCX</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center"/>
              <w:rPr>
                <w:b/>
                <w:spacing w:val="0"/>
              </w:rPr>
            </w:pPr>
            <w:r>
              <w:rPr>
                <w:b/>
                <w:spacing w:val="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2 on Form </w:t>
      </w:r>
    </w:p>
    <w:p>
      <w:pPr>
        <w:pStyle w:val="TextBody"/>
        <w:bidi w:val="0"/>
        <w:spacing w:before="240" w:after="0"/>
        <w:jc w:val="left"/>
        <w:rPr>
          <w:rFonts w:ascii="Times New Roman" w:hAnsi="Times New Roman"/>
          <w:sz w:val="20"/>
        </w:rPr>
      </w:pPr>
      <w:r>
        <w:rPr>
          <w:rFonts w:ascii="Times New Roman" w:hAnsi="Times New Roman"/>
          <w:sz w:val="20"/>
        </w:rPr>
        <w:t>8-K/A</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2”) amends the Current Report on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filed by Quince Therapeutics, Inc. (the “Company”) with the Securities and Exchange Commission (the “SEC”) on May 18, 2026 (the “Original Filing”), as amended by Amendment No. 1 to the Original Filing, filed by the Company with the SEC on May 18, 2026, in which the Company reported, among other events, the completion of the acquisition of Orphai Therapeutics, LLC, a Delaware limited liability company (formerly Orphai Therapeutics, Inc., a Dela</w:t>
      </w:r>
    </w:p>
    <w:p>
      <w:pPr>
        <w:pStyle w:val="TextBody"/>
        <w:bidi w:val="0"/>
        <w:spacing w:before="240" w:after="0"/>
        <w:jc w:val="left"/>
        <w:rPr>
          <w:rFonts w:ascii="Times New Roman" w:hAnsi="Times New Roman"/>
          <w:sz w:val="20"/>
        </w:rPr>
      </w:pPr>
      <w:r>
        <w:rPr>
          <w:rFonts w:ascii="Times New Roman" w:hAnsi="Times New Roman"/>
          <w:sz w:val="20"/>
        </w:rPr>
        <w:t>ware c</w:t>
      </w:r>
    </w:p>
    <w:p>
      <w:pPr>
        <w:pStyle w:val="TextBody"/>
        <w:bidi w:val="0"/>
        <w:spacing w:before="240" w:after="0"/>
        <w:jc w:val="left"/>
        <w:rPr>
          <w:rFonts w:ascii="Times New Roman" w:hAnsi="Times New Roman"/>
          <w:sz w:val="20"/>
        </w:rPr>
      </w:pPr>
      <w:r>
        <w:rPr>
          <w:rFonts w:ascii="Times New Roman" w:hAnsi="Times New Roman"/>
          <w:sz w:val="20"/>
        </w:rPr>
        <w:t xml:space="preserve">orporation) (“Orphai Subsidiary”) and Orphai Holdings Therapeutics, Inc. (“HoldCo”). This Amendment No. 2 is filed to (i) update the information in Item 9.01(a) of the Original Report to include the audited financial statements of Orphai as of and for the years ended December 31, 2025 and 2024 and the unaudited interim condensed consolidated financial statements of Orphai as of and for the three months ended March 31, 2026 and 2025; and (ii) update the information in Item 9.01(b) of the Original Report to include the unaudited pro forma condensed consolidated financial information of the Company as of and for the three months ended March 31, 2026 and the year ended December 31, 2025. The financial statements have been presented for Orphai, which was the entity that held all of the assets acquired. None of the assets acquired were attributable to HoldCo. Additionally, this Amendment No. 2 is filed to incorporate by reference business and risk factor information of Orphai. This Amendment No. 2 does not amend any other item of the Original Report.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herein have the meanings given to them in the Original Report.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12b-15</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as amended, the complete text of Item 9.01 (as amended) is included herein.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025"/>
        <w:gridCol w:w="1190"/>
      </w:tblGrid>
      <w:tr>
        <w:trPr/>
        <w:tc>
          <w:tcPr>
            <w:tcW w:w="1025" w:type="dxa"/>
            <w:tcBorders/>
            <w:vAlign w:val="center"/>
          </w:tcPr>
          <w:p>
            <w:pPr>
              <w:pStyle w:val="TableContents"/>
              <w:bidi w:val="0"/>
              <w:spacing w:before="0" w:after="0"/>
              <w:jc w:val="left"/>
              <w:rPr>
                <w:b/>
                <w:spacing w:val="0"/>
              </w:rPr>
            </w:pPr>
            <w:r>
              <w:rPr>
                <w:b/>
                <w:spacing w:val="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“Business Section of the Company” reflecting the business of the Company following the acquisition of Orphai is attached hereto as Exhibit 99.4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regarding the risks associated with the business and operations of the Company following the acquisition of Orphai set forth in the “Risk Factors of the Company” is attached hereto as Exhibit 99.5 and incorporated herein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90"/>
        <w:gridCol w:w="3440"/>
      </w:tblGrid>
      <w:tr>
        <w:trPr/>
        <w:tc>
          <w:tcPr>
            <w:tcW w:w="290" w:type="dxa"/>
            <w:tcBorders/>
            <w:vAlign w:val="center"/>
          </w:tcPr>
          <w:p>
            <w:pPr>
              <w:pStyle w:val="TableContents"/>
              <w:bidi w:val="0"/>
              <w:spacing w:before="0" w:after="283"/>
              <w:jc w:val="left"/>
              <w:rPr/>
            </w:pPr>
            <w:r>
              <w:rPr/>
              <w:t>(a)</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of business acquired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audited financial statements of Orphai as of and for the years ended December 31, 2025 and 2024 and the related notes thereto are attached hereto as Exhibit 99.6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unaudited interim condensed consolidated financial statements of Orphai as of and for the three months end</w:t>
      </w:r>
    </w:p>
    <w:p>
      <w:pPr>
        <w:pStyle w:val="TextBody"/>
        <w:bidi w:val="0"/>
        <w:spacing w:before="240" w:after="0"/>
        <w:jc w:val="left"/>
        <w:rPr>
          <w:rFonts w:ascii="Times New Roman" w:hAnsi="Times New Roman"/>
          <w:sz w:val="20"/>
        </w:rPr>
      </w:pPr>
      <w:r>
        <w:rPr>
          <w:rFonts w:ascii="Times New Roman" w:hAnsi="Times New Roman"/>
          <w:sz w:val="20"/>
        </w:rPr>
        <w:t>ed Ma</w:t>
      </w:r>
    </w:p>
    <w:p>
      <w:pPr>
        <w:pStyle w:val="TextBody"/>
        <w:bidi w:val="0"/>
        <w:spacing w:before="240" w:after="0"/>
        <w:jc w:val="left"/>
        <w:rPr>
          <w:rFonts w:ascii="Times New Roman" w:hAnsi="Times New Roman"/>
          <w:sz w:val="20"/>
        </w:rPr>
      </w:pPr>
      <w:r>
        <w:rPr>
          <w:rFonts w:ascii="Times New Roman" w:hAnsi="Times New Roman"/>
          <w:sz w:val="20"/>
        </w:rPr>
        <w:t xml:space="preserve">rch 31, 2026 and 2025 and the related notes thereto are attached hereto as Exhibit 99.7 and incorporated herein by reference.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283"/>
              <w:jc w:val="left"/>
              <w:rPr/>
            </w:pPr>
            <w:r>
              <w:rPr/>
              <w:t>(b)</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 forma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of the Company as of and for the three months ended March 31, 2026 and the year ended December 31, 2025 is attached hereto as Exhibit 99.8 and incorporated herein by reference.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0"/>
              <w:jc w:val="center"/>
              <w:rPr>
                <w:b/>
              </w:rPr>
            </w:pPr>
            <w:r>
              <w:rPr>
                <w:b/>
              </w:rPr>
              <w:t>Exhibit</w:t>
            </w:r>
          </w:p>
          <w:p>
            <w:pPr>
              <w:pStyle w:val="TableContents"/>
              <w:bidi w:val="0"/>
              <w:spacing w:before="0" w:after="0"/>
              <w:jc w:val="center"/>
              <w:rPr/>
            </w:pPr>
            <w:r>
              <w:rPr/>
            </w:r>
          </w:p>
          <w:p>
            <w:pPr>
              <w:pStyle w:val="TableContents"/>
              <w:bidi w:val="0"/>
              <w:spacing w:before="0" w:after="0"/>
              <w:jc w:val="center"/>
              <w:rPr>
                <w:b/>
              </w:rPr>
            </w:pP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
              <w:r>
                <w:rPr>
                  <w:rStyle w:val="InternetLink"/>
                </w:rPr>
                <w:t>Agreement and Plan of Merger, dated May 17, 2026, by and among Quince Therapeutics, Inc., Phoenix Merger Sub I, Inc., Phoenix Merger Sub II, LLC, Orphai Therapeutics, LLC, and Orphai Holdings Therapeutics, Inc. (incorporated by reference to Exhibit 2.1 to the Company’s Current Report on Form 8-K (File No. 001-38890), filed with the SEC on May 18, 2026).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
              <w:r>
                <w:rPr>
                  <w:rStyle w:val="InternetLink"/>
                </w:rPr>
                <w:t>Certificate of Designation of Series C Non-Voting Convertible Preferred Stock (incorporated by reference to Exhibit 3.1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
              <w:r>
                <w:rPr>
                  <w:rStyle w:val="InternetLink"/>
                </w:rPr>
                <w:t>Form of Warrant to Purchase Series C Non-Voting Convertible Preferred Stock or Common Stock (incorporated by reference to Exhibit 4.1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
              <w:r>
                <w:rPr>
                  <w:rStyle w:val="InternetLink"/>
                </w:rPr>
                <w:t>Form of Securities Purchase Agreement, dated as of May 18, 2026, by and among Quince Therapeutics, Inc. and each investor listed on Exhibit A thereto (incorporated by reference to Exhibit 10.1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6">
              <w:r>
                <w:rPr>
                  <w:rStyle w:val="InternetLink"/>
                </w:rPr>
                <w:t>Form of Registration Rights Agreement, by and among Quince Therapeutics, Inc. and certain investors signatory thereto (incorporated by reference to Exhibit 10.2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
              <w:r>
                <w:rPr>
                  <w:rStyle w:val="InternetLink"/>
                </w:rPr>
                <w:t>Employment Letter between the Company and Brigette Roberts, effective May 18, 2026 (incorporated by reference to Exhibit 10.3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
              <w:r>
                <w:rPr>
                  <w:rStyle w:val="InternetLink"/>
                </w:rPr>
                <w:t>Employment Letter between Orphai Therapeutics Inc. and Brigette Roberts, effective May 12, 2026 (incorporated by reference to Exhibit 10.4 to the Company’s Current Report on Form 8-K (File No. 001-38890), filed with the Securities and Exchange Commission on May 18, 2026).</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9">
              <w:r>
                <w:rPr>
                  <w:rStyle w:val="InternetLink"/>
                </w:rPr>
                <w:t>Retention Bonus Agreement dated May 17, 2026 between the Company and Dirk Thye (incorporated by reference to Exhibit 10.5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0">
              <w:r>
                <w:rPr>
                  <w:rStyle w:val="InternetLink"/>
                </w:rPr>
                <w:t>Retention Bonus Agreement dated May 17, 2026 between the Company and Brendan Hannah (incorporated by reference to Exhibit 10.6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231.htm">
              <w:r>
                <w:rPr>
                  <w:rStyle w:val="InternetLink"/>
                </w:rPr>
                <w:t xml:space="preserve">Consent of Deloitte &amp; Touche, LLP, Independent Registered Public Accounting Firm.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1">
              <w:r>
                <w:rPr>
                  <w:rStyle w:val="InternetLink"/>
                </w:rPr>
                <w:t>Press Release issued on May 18, 2026 (incorporated by reference to Exhibit 99.1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2">
              <w:r>
                <w:rPr>
                  <w:rStyle w:val="InternetLink"/>
                </w:rPr>
                <w:t>Press Release issued on May 18, 2026 (incorporated by reference to Exhibit 99.2 to the Company’s Amendment No. 1 to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3">
              <w:r>
                <w:rPr>
                  <w:rStyle w:val="InternetLink"/>
                </w:rPr>
                <w:t>Investor Presentation, dated May 18, 2026 (incorporated by reference to Exhibit 99.3 to the Company’s Current Report on Form 8-K (File No. 001-38890), filed with the SEC on May 18, 2026)</w:t>
              </w:r>
            </w:hyperlink>
            <w:r>
              <w:rPr/>
              <w:t>.</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994.htm">
              <w:r>
                <w:rPr>
                  <w:rStyle w:val="InternetLink"/>
                </w:rPr>
                <w:t xml:space="preserve">Business Section of the Company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995.htm">
              <w:r>
                <w:rPr>
                  <w:rStyle w:val="InternetLink"/>
                </w:rPr>
                <w:t xml:space="preserve">Risk Factors of the Company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996.htm">
              <w:r>
                <w:rPr>
                  <w:rStyle w:val="InternetLink"/>
                </w:rPr>
                <w:t xml:space="preserve">Audited Financial Statements of Orphai Therapeutics, Inc. as of and for the year ended December 31, 2025 and 2024 and the related notes thereto.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997.htm">
              <w:r>
                <w:rPr>
                  <w:rStyle w:val="InternetLink"/>
                </w:rPr>
                <w:t xml:space="preserve">Unaudited Interim Condensed Consolidated Financial Statements of Orphai Therapeutics, Inc. as of and for the three months ended March 31, 2026 and 2025 and the related notes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63930dex998.htm">
              <w:r>
                <w:rPr>
                  <w:rStyle w:val="InternetLink"/>
                </w:rPr>
                <w:t xml:space="preserve">Unaudited Pro Forma Condensed Combined Financial Information of the Company as of and for the three months ended March 31, 2026 and the year ended December 31, 2025 </w:t>
              </w:r>
            </w:hyperlink>
          </w:p>
        </w:tc>
      </w:tr>
    </w:tbl>
    <w:p>
      <w:pPr>
        <w:pStyle w:val="HorizontalLine"/>
        <w:pBdr>
          <w:bottom w:val="double" w:sz="2" w:space="0" w:color="808080"/>
        </w:pBdr>
        <w:bidi w:val="0"/>
        <w:spacing w:before="0" w:after="283"/>
        <w:jc w:val="left"/>
        <w:rPr/>
      </w:pPr>
      <w:r>
        <w:rPr/>
      </w:r>
    </w:p>
    <w:tbl>
      <w:tblPr>
        <w:tblW w:w="7135" w:type="dxa"/>
        <w:jc w:val="left"/>
        <w:tblInd w:w="0" w:type="dxa"/>
        <w:tblLayout w:type="fixed"/>
        <w:tblCellMar>
          <w:top w:w="0" w:type="dxa"/>
          <w:left w:w="0" w:type="dxa"/>
          <w:bottom w:w="0" w:type="dxa"/>
          <w:right w:w="0" w:type="dxa"/>
        </w:tblCellMar>
      </w:tblPr>
      <w:tblGrid>
        <w:gridCol w:w="395"/>
        <w:gridCol w:w="120"/>
        <w:gridCol w:w="662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2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pPr>
            <w:r>
              <w:rPr/>
              <w:t xml:space="preserve">Cover Page Interactive Data File (embedded within the Inline XBRL </w:t>
            </w:r>
          </w:p>
          <w:p>
            <w:pPr>
              <w:pStyle w:val="TableContents"/>
              <w:bidi w:val="0"/>
              <w:spacing w:before="0" w:after="0"/>
              <w:jc w:val="left"/>
              <w:rPr/>
            </w:pPr>
            <w:r>
              <w:rPr/>
              <w:t>document</w:t>
            </w:r>
          </w:p>
          <w:p>
            <w:pPr>
              <w:pStyle w:val="TableContents"/>
              <w:bidi w:val="0"/>
              <w:spacing w:before="0" w:after="0"/>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annexes, and attachments have been omitted pursuant to Item 601(a)(5)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Company agrees to provide, on a supplemental basis, a copy of any omitted schedules and attachments to the Securities and Exchange Commission or its staff upon request. </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4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30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0"/>
              <w:jc w:val="left"/>
              <w:rPr>
                <w:b/>
                <w:spacing w:val="0"/>
              </w:rPr>
            </w:pPr>
            <w:r>
              <w:rPr>
                <w:b/>
                <w:spacing w:val="0"/>
              </w:rPr>
              <w:t>Quince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Dirk Thye</w:t>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63930dex231.htm"/>
      <w:bookmarkStart w:id="3" w:name="ksd163930dex231"/>
      <w:bookmarkEnd w:id="2"/>
      <w:bookmarkEnd w:id="3"/>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 Form S-3 (No. 333-283897 and 333-288971) and Form S-8 (Nos. 333-231307, 333-237199, 333-253743, 333-263186, 333-265109, 333-270577, 333-278440, 333-286063, and 333-295164) of Quince Therapeutics, Inc., of our report dated July 29, 2026, relating to the financial statements of Orphai Therapeutics, Inc. appearing in this Current Report on Form 8-K dated July 29, 2026.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Hartford, Connecticut </w:t>
      </w:r>
    </w:p>
    <w:p>
      <w:pPr>
        <w:pStyle w:val="TextBody"/>
        <w:bidi w:val="0"/>
        <w:spacing w:before="240" w:after="0"/>
        <w:jc w:val="left"/>
        <w:rPr>
          <w:rFonts w:ascii="Times New Roman" w:hAnsi="Times New Roman"/>
          <w:sz w:val="20"/>
        </w:rPr>
      </w:pPr>
      <w:r>
        <w:rPr>
          <w:rFonts w:ascii="Times New Roman" w:hAnsi="Times New Roman"/>
          <w:sz w:val="20"/>
        </w:rPr>
        <w:t xml:space="preserve">July 29, 2026 </w:t>
      </w:r>
    </w:p>
    <w:p>
      <w:pPr>
        <w:pStyle w:val="TextBody"/>
        <w:bidi w:val="0"/>
        <w:spacing w:before="0" w:after="0"/>
        <w:jc w:val="right"/>
        <w:rPr>
          <w:rFonts w:ascii="Times New Roman" w:hAnsi="Times New Roman"/>
          <w:b/>
          <w:sz w:val="20"/>
        </w:rPr>
      </w:pPr>
      <w:bookmarkStart w:id="4" w:name="d163930dex994.htm"/>
      <w:bookmarkStart w:id="5" w:name="ksd163930dex994"/>
      <w:bookmarkEnd w:id="4"/>
      <w:bookmarkEnd w:id="5"/>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developing a novel disease modifying therapeutic to address the significant unmet medical need associated with pulmonary disorders with few, if any, treatment options available. On May 18, 2026, we completed the acquisition of Orphai Therapeutics, a clinical-stage biopharmaceutical company developing therapies to treat serious, underserved pulmonary disorders. The acquisition brought into our pipeline Orphai’s lead asset, LAM-001, a proprietary investigational inhaled dry powder formulation of rapamycin whose differentiated characteristics may permit treatment of conditions associated with dysfunctional mammalian target of rapamycin (“mTOR”) activity that cannot be adequately treated using a systemically delivered formulation, including oral solution or tablets. In connection with the acquisition, we received $115 million in upfront gross proceeds, with the potential to receive up to an additional approximately $72 million in gross proceeds upon the exercise of certain warrants (with an additional up to $11 million in gross proceeds available upon the exercise of warrants issued to former Orphai stockholders), in a private placement transaction from a broad syndicate of investors including Balyasny Asset Management, Affinity Asset Advisors, LLC, Coastlands Capital, Columbia Threadneedle Investments, Cormorant Asset Management, Eventide Asset Management, Foresite Capital, Janus Henderson Investors, LifeSci Venture Partners, Logos Capital, Perceptive Advisors, SilverArc Capital and Woodline Partners LP.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acquisition, our lead product candidate is LAM-001. We are currently evaluating the use of LAM-001 as a treatment for patients with pulmonary hypertension associated with interstitial lung disease (“PH-ILD”) and for patients with bronchiolitis obliterans syndrome post lung transplant (“BOS”), both severe, progressive and often life-threatening indications with few therapeutic alternatives of significant clinical benefit. In our recently completed Phase 2a trial, which enrolled patients with pulmonary arterial hypertension (“PAH”) as well as patients with PH-ILD, LAM-001 achieved consistent, clinically relevant improvement across multiple established endpoints, including pulmonary vascular resistance (“PVR”), six-minute walking distance (“6MWD”) and functional class rankings. A Phase 2b trial of LAM-001 is ongoing, evaluating 75-patients with PH-ILD, with data expected in the first quarter of 2028. A fully enrolled Phase 2 trial of LAM-001 in BOS is currently ongoing, with results anticipated in the first quarter of 2027. In addition, we expect to initiate a Phase 2 trial to evaluate the use of LAM-001 as a treatment for sarcoidosis-associated pulmonary hypertension (“SAPH”) in late 2026, with data expected in the fourth quarter of 2028. </w:t>
      </w:r>
    </w:p>
    <w:p>
      <w:pPr>
        <w:pStyle w:val="TextBody"/>
        <w:bidi w:val="0"/>
        <w:spacing w:before="240" w:after="0"/>
        <w:jc w:val="left"/>
        <w:rPr>
          <w:rFonts w:ascii="Times New Roman" w:hAnsi="Times New Roman"/>
          <w:sz w:val="20"/>
        </w:rPr>
      </w:pPr>
      <w:r>
        <w:rPr>
          <w:rFonts w:ascii="Times New Roman" w:hAnsi="Times New Roman"/>
          <w:sz w:val="20"/>
        </w:rPr>
        <w:t xml:space="preserve">Prior to the acquisition, Orphai was led by Brigette Roberts, M.D., who joined Orphai in 2021 and has played an instrumental role in the development of LAM-001 and continues to lead our company as our Chief Corporate Affairs Officer and member of our board of directors. Previously, Dr. Roberts spent approximately 15 years as a healthcare investor and portfolio manager, including at Third Point LLC, a New York based hedge fund. As part of the acquisition, Orphai’s former Chief Operating Officer, Keith Fandrick, Ph.D., MBA, RAC, joined our company to oversee our operations, manufacturing and regulatory strategy as our Head of Technical Operations. Before joining us, Dr. Fandrick was a group leader in the chemical development group of Boehringer Ingelheim and former SAB member for Drug Farm. </w:t>
      </w:r>
    </w:p>
    <w:p>
      <w:pPr>
        <w:pStyle w:val="TextBody"/>
        <w:bidi w:val="0"/>
        <w:spacing w:before="240" w:after="0"/>
        <w:jc w:val="left"/>
        <w:rPr>
          <w:rFonts w:ascii="Times New Roman" w:hAnsi="Times New Roman"/>
          <w:sz w:val="20"/>
        </w:rPr>
      </w:pPr>
      <w:r>
        <w:rPr>
          <w:rFonts w:ascii="Times New Roman" w:hAnsi="Times New Roman"/>
          <w:sz w:val="20"/>
        </w:rPr>
        <w:t xml:space="preserve">Rapamycin, sold under the brand name Rapamune®, was first approved in 1999 by the United States Food and Drug Administration (“FDA”) to prevent organ rejection in patients receiving a kidney transplant. Rapamycin inhibits the highly conserved mTOR signaling pathway, which plays a central role in the regulation of cell growth, proliferation and survival. Rapamycin was first approved as an oral liquid solution and in tablet form. It has also been approved as an intravenous injection and in a topical formulation. Rapamycin has not been approved as an inhaled formulation.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Orally administered rapamycin received FDA approval in 2015 to treat lymphangioleiomyomatosis (“LAM”), a rare lung disease caused by the proliferation of abnormal smooth muscle-like cells, which results in cystic lung destruction and pronounced airflow obstruction. A key driver of LAM is dysfunctional mTOR activation. Systemic exposure to rapamycin, however, is burdened with adverse side effects, including opportunistic infections, urinary tract infection, upper respiratory tract infection, nasopharyngitis, pneumonia, pneumocystis carinii pneumonia, pyelonephritis, sepsis, herpes simplex infection, herpes zoster, BK virus-associated nephropathy, progressive multifocal leukoencephalopathy (PML), latent viral infection reactivation, tuberculosis, basal cell carcinoma, squamous cell carcinoma, melanoma, lymphoma, neuroendocrine carcinoma of the skin (Merkel cell carcinoma);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 / thrombotic thrombocytopenic purpura / thrombotic microangiopathy HUS/TTP/TMA; interstitial lung disease (including pneumonitis, bronchiolitis obliterans organizing pneumonia [BOOP], and pulmonary fibrosis); non-infectious pneumonitis; bronchial anastomotic dehiscence; increased creatinine; decline in renal function; proteinuria; nephrotic syndrome; focal segmental glomerulosclerosis; hypercholesterolemia: hypertriglyceridemia, hyperlipidemia; diabetes mellitus; increased AST/SGOT; increased ALT/SGPT; hyperglycemia; hypokalemia; anemia; leukopenia; neutropenia; thrombocytopenia; pancytopenia; arthralgia; myalgia; bone necrosis; hepatotoxicity (including fatal hepatic necrosis); hepatic artery thrombosis; lymphocele; lymphedema; posterior reversible encephalopathy syndrome; ovarian cysts; menstrual disorders (including amenorrhea, menorrhagia); azoospermia; increased lactate dehydrogenase (LDH); headache; dizziness; fever; pain; abdominal pain; constipation; diarrhea; nausea; stomatitis; acne; rash; exfoliative dermatitis; abnormal/impaired wound healing. Clinical use of oral rapamycin has been further complicated by poor aqueous solubility, first-pass metabolism in the liver, and low bioavailability. As such, the concentration of drug in the blood stream varies significantly, requiring frequent plasma monitoring and dose adjustments. </w:t>
      </w:r>
    </w:p>
    <w:p>
      <w:pPr>
        <w:pStyle w:val="TextBody"/>
        <w:bidi w:val="0"/>
        <w:spacing w:before="240" w:after="0"/>
        <w:jc w:val="left"/>
        <w:rPr>
          <w:rFonts w:ascii="Times New Roman" w:hAnsi="Times New Roman"/>
          <w:b/>
          <w:sz w:val="20"/>
        </w:rPr>
      </w:pPr>
      <w:r>
        <w:rPr>
          <w:rFonts w:ascii="Times New Roman" w:hAnsi="Times New Roman"/>
          <w:b/>
          <w:sz w:val="20"/>
        </w:rPr>
        <w:t>Our Pipeline</w:t>
      </w:r>
    </w:p>
    <w:p>
      <w:pPr>
        <w:pStyle w:val="TextBody"/>
        <w:bidi w:val="0"/>
        <w:spacing w:before="0" w:after="0"/>
        <w:jc w:val="left"/>
        <w:rPr/>
      </w:pPr>
      <w:r>
        <w:rPr/>
        <w:t> </w:t>
      </w:r>
    </w:p>
    <w:p>
      <w:pPr>
        <w:pStyle w:val="TextBody"/>
        <w:bidi w:val="0"/>
        <w:spacing w:before="0" w:after="0"/>
        <w:jc w:val="center"/>
        <w:rPr/>
      </w:pPr>
      <w:r>
        <w:rPr/>
        <w:drawing>
          <wp:inline distT="0" distB="0" distL="0" distR="0">
            <wp:extent cx="5915025" cy="2447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5915025" cy="2447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LAM-001, our lead product candidate for the treatment of serious, underserved pulmonary diseases, is a proprietary inhaled dry powder formulation of rapamycin. We believe the use of an inhaled formulation may provide numerous clinical advantages and may allow us to circumvent many of the issues associated with rapamycin’s systemic delivery. Targeted delivery of rapamycin directly to the lungs is designed to enable higher localized drug exposure while minimizing the drug’s systemic burden, potentially enhancing its tolerability. We believe the once-daily, fixed dosed administration of LAM-001 has the potential to bolster convenience and ease-of-use for improved patient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lead indication for LAM-001 is PH-ILD, a disorder that collectively affects an estimated 200,000 patients in the US and Europe. Pulmonary arterial smooth muscle cell proliferation and endothelial cell dysfunction, which result in a thickening and narrowing of the pulmonary vasculature, is a primary characteristic of PH. When PH occurs in the setting of underlying ILD, it is associated with accelerated morbidity and mortality. PH-ILD has a five-year survival rate of 23%, which is worse than patients diagnosed with either PH (five-year survival rate of 54%) or ILD (five-year survival rate of 54%) alone. Patients diagnosed with PH and idiopathic pulmonary fibrosis, a particularly aggressive form of PH-ILD, have an estimated mean survival rate of just 2 years. Other than lung transplantation, there is no known cure for PH-ILD. The only therapeutic currently approved by the FDA to treat PH-ILD is inhaled treprostinil, a pulmonary vasodilator that requires three to five administrations daily. In a post-hoc analysis of the INCREASE trial and its open-label extension in PH-ILD patients, inhaled treprostinil was found to have a 38% and 74% reduction in risk of mortality compared to placebo, under two different models of survival –the inverse probability of censoring weighting model and the rank-preserving structural failure time model – respectively. However, even with treprostinil treatment, PH-ILD is characterized by continued disease progression and death, with a mean time to death in the same post hoc analysis of the INCREASE trial of 58.5 weeks for treprostinil treated patients (vs 43.5 weeks for placebo treated patients). </w:t>
      </w:r>
    </w:p>
    <w:p>
      <w:pPr>
        <w:pStyle w:val="TextBody"/>
        <w:bidi w:val="0"/>
        <w:spacing w:before="240" w:after="0"/>
        <w:jc w:val="left"/>
        <w:rPr>
          <w:rFonts w:ascii="Times New Roman" w:hAnsi="Times New Roman"/>
          <w:sz w:val="20"/>
        </w:rPr>
      </w:pPr>
      <w:r>
        <w:rPr>
          <w:rFonts w:ascii="Times New Roman" w:hAnsi="Times New Roman"/>
          <w:sz w:val="20"/>
        </w:rPr>
        <w:t xml:space="preserve">We initiated a multicenter, single-arm, open label exploratory Phase 2a clinical trial of LAM-001 as an add-on therapy in ten adult patients diagnosed with either PAH or PH-ILD. Patients in the trial were administered 100 µg of LAM-001 through a dry powder inhaler (“DPI”) once daily for 24 weeks. In the trial, LAM-001 achieved consistent, clinically relevant improvements across multiple endpoints, including notable reduction in mean pulmonary vascular resistance (PVR) and increase in six-minute walk distance (6MWD). Further evidence of the potential clinical benefit provided by LAM-001 was documented by functional class improvement observed during the trial period, with all six trial participants who completed the trial exhibiting functional class improvement from Class III to Class II. LAM-001 was generally well tolerated with no dose interruptions due to adverse events, no drug related serious adverse events, and no trial discontinuations for reasons related to the drug candidate. Following the positive results from the Phase 2a clinical trial, we initiated a 75 patient Phase 2b trial for the evaluation of LAM-001 as a novel, disease-modifying treatment for adults with PH-ILD. </w:t>
      </w:r>
    </w:p>
    <w:p>
      <w:pPr>
        <w:pStyle w:val="TextBody"/>
        <w:bidi w:val="0"/>
        <w:spacing w:before="240" w:after="0"/>
        <w:jc w:val="left"/>
        <w:rPr>
          <w:rFonts w:ascii="Times New Roman" w:hAnsi="Times New Roman"/>
          <w:sz w:val="20"/>
        </w:rPr>
      </w:pPr>
      <w:r>
        <w:rPr>
          <w:rFonts w:ascii="Times New Roman" w:hAnsi="Times New Roman"/>
          <w:sz w:val="20"/>
        </w:rPr>
        <w:t xml:space="preserve">LAM-001 is also being evaluated in an ongoing investigator sponsored 19-patient, 48-week, double-blind, placebo-controlled Phase 2 trial as a treatment for BOS. BOS is an irreversible lung disease characterized by the scarring and narrowing of the bronchioles, leading to lung function deterioration and graft failure. T-cell proliferation and the related inflammatory sequelae are believed to be significant drivers of the disease. BOS is the leading cause of death in lung transplant patients, and nearly all lung transplant patients will get BOS, with only 11% of lung transplant patients alive and free from BOS ten years after lung transplant. Disease progression is rapid with a median survival of 2.5 years post the onset of BOS in lung transplant recipients. Other than a replacement transplant, there is no cure, and no therapeutic agent has received approval by the FDA for the treatment of BOS. The estimated BOS patient population in the US and Europe combined will be approximately 30,000 by 2032. </w:t>
      </w:r>
    </w:p>
    <w:p>
      <w:pPr>
        <w:pStyle w:val="TextBody"/>
        <w:bidi w:val="0"/>
        <w:spacing w:before="240" w:after="0"/>
        <w:jc w:val="left"/>
        <w:rPr>
          <w:rFonts w:ascii="Times New Roman" w:hAnsi="Times New Roman"/>
          <w:sz w:val="20"/>
        </w:rPr>
      </w:pPr>
      <w:r>
        <w:rPr>
          <w:rFonts w:ascii="Times New Roman" w:hAnsi="Times New Roman"/>
          <w:sz w:val="20"/>
        </w:rPr>
        <w:t xml:space="preserve">Standard treatment for BOS consists of long-term off-label immunosuppressive regimens that combine a calcineurin inhibitor, a cell cycle inhibitor and corticosteroids. Patients may also be administered fluticasone, oral montelukast and azithromycin (FAM) triple therapy. An alternate therapeutic combination replaces the cell cycle inhibitor with an oral mTOR inhibitor or adds an oral mTOR inhibitor to the regimen. </w:t>
      </w:r>
    </w:p>
    <w:p>
      <w:pPr>
        <w:pStyle w:val="TextBody"/>
        <w:bidi w:val="0"/>
        <w:spacing w:before="240" w:after="0"/>
        <w:jc w:val="left"/>
        <w:rPr>
          <w:rFonts w:ascii="Times New Roman" w:hAnsi="Times New Roman"/>
          <w:sz w:val="20"/>
        </w:rPr>
      </w:pPr>
      <w:r>
        <w:rPr>
          <w:rFonts w:ascii="Times New Roman" w:hAnsi="Times New Roman"/>
          <w:sz w:val="20"/>
        </w:rPr>
        <w:t xml:space="preserve">In the context of BOS, we believe mTOR inhibition with rapamycin may provide multifaceted benefit by suppressing not only adaptive immune responses but also fibroproliferative processes characteristic of obliterative bronchiolitis. Specifically, rapamycin inhibits effector T-cell differentiation and proliferation while promoting regulatory T cells (Tregs), reduces B-cell activation and antibody production (potentially mitigating antibody-mediated components of chronic rejection), and limits fibroblast proliferation, myofibroblast differentiation, and extracellular matrix deposition in the airways. It may also attenuate vascular smooth muscle cell hyperplasia, angiogenesis, and epithelial-mesenchymal transition that contribute to airway obliteration and remodeling. These effects collectively target the chronic alloimmune inflammation and dysregulated repair mechanisms driving progressive FEV1 decline in BOS.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Oral rapamycin has been shown in small studies to have a beneficial impact on both the treatment of progressive BOS, showing stabilization of lung function. However, tolerability remains challenging given the numerous adverse events (“AEs”) associated with orally delivered rapamycin, including increased susceptibility to infection, lymphoma and malignancy: Opportunistic infections, Urinary tract infection, Upper respiratory tract infection, Nasopharyngitis, Pneumonia, Pneumocystis carinii pneumonia, Pyelonephritis, Sepsis, Herpes simplex infection, Herpes zoster BK virus-associated nephropathy, Progressive multifocal leukoencephalopathy (PML), Latent viral infection reactivation, Basal cell carcinoma, Squamous cell carcinoma, Melanoma, Lymphoma;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 / Thrombotic thrombocytopenic purpura / Thrombotic microangiopathy HUS/TTP/TMA; Interstitial lung disease (ILD); Non-infectious pneumonitis; Bronchial anastomotic dehiscence; Increased creatinine; Decline in renal function; Proteinuria; Hypercholesterolemia: Hypertriglyceridemia, Hyperlipidemia; Diabetes mellitus; Hypokalemia; Anemia; Leukopenia; Neutropenia; Thrombocytopenia; Pancytopenia; Arthralgia; Myalgia; Bone necrosis; Hepatotoxicity (including fatal hepatic necrosis); Hepatic artery thrombosis; Lymphocele; Lymphedema; Ovarian cysts; Menstrual disorders (including amenorrhea, menorrhagia); Increased lactate dehydrogenase (LDH); Headache; Dizziness; Fever; Pain; Abdominal pain; Constipation; Diarrhea; Nausea; Stomatitis; Acne; Rash; Exfoliative dermatitis; Abnormal/impaired wound healing. </w:t>
      </w:r>
    </w:p>
    <w:p>
      <w:pPr>
        <w:pStyle w:val="TextBody"/>
        <w:bidi w:val="0"/>
        <w:spacing w:before="240" w:after="0"/>
        <w:jc w:val="left"/>
        <w:rPr>
          <w:rFonts w:ascii="Times New Roman" w:hAnsi="Times New Roman"/>
          <w:sz w:val="20"/>
        </w:rPr>
      </w:pPr>
      <w:r>
        <w:rPr>
          <w:rFonts w:ascii="Times New Roman" w:hAnsi="Times New Roman"/>
          <w:sz w:val="20"/>
        </w:rPr>
        <w:t xml:space="preserve">In a single-center study conducted by Dr. Stuckey at the University of Michigan in 49 patients administered oral rapamycin post lung transplant, 55% discontinued therapy due to adverse events including fatigue, edema, pneumonitis, and renal dysfunction. In addition, because of its low and variable oral bioavailability, rapamycin requires frequent plasma monitoring and dose adjustments to achieve target concentrations. We believe that the minimization of systemic toxicities through the use of an inhaled formulation of rapamycin may address tolerability issues while also enabling targeted drug delivery with higher local exposure. Additionally, we believe the once-daily, fixed dosed administration of LAM-001 has the potential to bolster convenience and ease-of-use for improved patient compliance. The Phase 2 BOS trial is fully enrolled with preliminary data expected to be available in the first quarter of 2027. LAM-001 has been granted Orphan Drug Designation in the United States and in the European Union for the treatment of BOS. </w:t>
      </w:r>
    </w:p>
    <w:p>
      <w:pPr>
        <w:pStyle w:val="TextBody"/>
        <w:bidi w:val="0"/>
        <w:spacing w:before="240" w:after="0"/>
        <w:jc w:val="left"/>
        <w:rPr>
          <w:rFonts w:ascii="Times New Roman" w:hAnsi="Times New Roman"/>
          <w:sz w:val="20"/>
        </w:rPr>
      </w:pPr>
      <w:r>
        <w:rPr>
          <w:rFonts w:ascii="Times New Roman" w:hAnsi="Times New Roman"/>
          <w:sz w:val="20"/>
        </w:rPr>
        <w:t xml:space="preserve">We are also planning to study LAM-001 for the treatment of SAPH. Sarcoidosis is a systemic inflammatory condition characterized by the formation of granulomas. While sarcoidosis can affect various organs and tissues, the lungs and pulmonary function are impacted in 90% of cases. The origin of sarcoidosis remains unknown. </w:t>
      </w:r>
    </w:p>
    <w:p>
      <w:pPr>
        <w:pStyle w:val="TextBody"/>
        <w:bidi w:val="0"/>
        <w:spacing w:before="240" w:after="0"/>
        <w:jc w:val="left"/>
        <w:rPr>
          <w:rFonts w:ascii="Times New Roman" w:hAnsi="Times New Roman"/>
          <w:sz w:val="20"/>
        </w:rPr>
      </w:pPr>
      <w:r>
        <w:rPr>
          <w:rFonts w:ascii="Times New Roman" w:hAnsi="Times New Roman"/>
          <w:sz w:val="20"/>
        </w:rPr>
        <w:t xml:space="preserve">SAPH, categorized within Group 5 PH, is an uncommon complication that affects an estimated 15% of patients with pulmonary sarcoidosis, and is associated with increased morbidity and mortality. With a five-year survival rate of 55%, SAPH has an 8 to 10 times higher mortality rate than pulmonary sarcoidosis alone. The incidence of SAPH in patients with pulmonary sarcoidosis is estimated to be between 6% and 28%, with the prevalence in pulmonary sarcoidosis patients awaiting lung transplants as high as 74%. There are collectively an estimated 60,000 patients with SAPH in the US and Europe.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FDA-approved therapies for SAPH. Therapeutics used to treat pulmonary arterial hypertension (PAH), including sildenafil, prostacyclins and endothelin receptor antagonists (ERA), are commonly used off label but with limited benefit. Approximately 22% of SAPH patients receive no PH specific therapy. </w:t>
      </w:r>
    </w:p>
    <w:p>
      <w:pPr>
        <w:pStyle w:val="TextBody"/>
        <w:bidi w:val="0"/>
        <w:spacing w:before="240" w:after="0"/>
        <w:jc w:val="left"/>
        <w:rPr>
          <w:rFonts w:ascii="Times New Roman" w:hAnsi="Times New Roman"/>
          <w:sz w:val="20"/>
        </w:rPr>
      </w:pPr>
      <w:r>
        <w:rPr>
          <w:rFonts w:ascii="Times New Roman" w:hAnsi="Times New Roman"/>
          <w:sz w:val="20"/>
        </w:rPr>
        <w:t xml:space="preserve">We believe scientific and clinical observations involving sarcoidosis provide compelling support for the potential therapeutic utility of DPI rapamycin to treat SAPH. mTOR activation is commonly seen in granulomas of patients across different tissues and has been shown to induce sarcoidosis-like granulomas in a mouse model. In addition, the one participant with pulmonary sarcoidosis included in our Phase 2a clinical trial demonstrated significant improvement after administration of LAM-001, including a 162 meter improvement in the 6MWD score at the Week 24 trial completion, a 41% and 66% improvement in the PVR resting and peak exercise tests, respectively, and a 7% improvement in VO2 Max. As such, we expect to initiate a Phase 2 trial specifically to assess its use as a treatment for SAPH in late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intend to establish ourselves as a leading company developing treatments for serious, underserved pulmonary diseases. To accomplish this objective, we intend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Advance the clinical development of LAM-001 as a therapeutic for patients with PH-ILD.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75-patient Phase 2b trial in patients with PH-ILD is ongoing, with data expected in the first quarter of 2028.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Continue the ongoing clinical development of LAM-001 as a treatment for BOS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use of LAM-001 as a treatment for patients with BOS is currently being evaluated in an ongoing, 48-week investigator sponsored Phase 2 trial. Full enrollment was achieved in this trial in January 2026 and preliminary results are expected to be available in the first quarter of 2027.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Advance the clinical development of LAM-001 as a therapeutic for patients with SAPH.</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to initiate a Phase 2 trial to evaluate the use of LAM-001 as a treatment for SAPH in late 2026, with data expected in the fourth quarter of 2028.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Utilize the 505(b)(2) regulatory pathway to potentially expedite LAM-001 clinical development.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pursue LAM-001 clinical development under the 505(b)(2) regulatory pathway, which may provide a streamlined, capital efficient pathway when compared to traditional drug development because it allows us to leverage the FDA’s prior conclusions of safety and effectiveness for rapamycin. There can be no guarantee that we will be able to utilize such a regulatory pathway or that it would lead to a faster development, regulatory review or approval process or increase the likelihood of marketing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Pursue additional disease indications where LAM-001 may offer therapeutic advantages.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mTOR signaling pathway plays a critical role in the regulation of cell growth, proliferation and survival, and its dysfunctional activity is involved in a host of disease indications. Yet, the clinical use of oral rapamycin has been complicated by poor aqueous solubility, first-pass metabolism in the liver, low bioavailability, and numerous safety risks. LAM-001 has been formulated specifically to address the issues associated with oral rapamycin in pulmonary disorders where errant mTOR activity has been implicated. In addition to PH-ILD, BOS and SAPH, we continue to evaluate LAM-001 in other indications for potential future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Rapamycin and the mTOR signaling pathway </w:t>
      </w:r>
    </w:p>
    <w:p>
      <w:pPr>
        <w:pStyle w:val="TextBody"/>
        <w:bidi w:val="0"/>
        <w:spacing w:before="120" w:after="0"/>
        <w:jc w:val="left"/>
        <w:rPr>
          <w:rFonts w:ascii="Times New Roman" w:hAnsi="Times New Roman"/>
          <w:sz w:val="20"/>
        </w:rPr>
      </w:pPr>
      <w:r>
        <w:rPr>
          <w:rFonts w:ascii="Times New Roman" w:hAnsi="Times New Roman"/>
          <w:sz w:val="20"/>
        </w:rPr>
        <w:t xml:space="preserve">Rapamycin, also referred to as sirolimus and sold under the brand name Rapamune®, is a macrolide lactam that has broad immunosuppressant and antiproliferative properties related to its ability to inhibit the highly conserved serine-threonine protein kinase mTOR signaling pathway, which plays a central role in the regulation of cell growth, proliferation and survival. Fundamental to its mechanism of action is its targeting of cytosolic-FK binding protein 12 (“FKBP12”) to generate an FKBP12-rapamycin complex that binds directly to the FKBP12-rapamycin binding domain of mTOR, blocking mTOR phosphorylation of downstream substrates through allosteric inhibition. Dysfunctional mTOR activation has been implicated in multiple inflammatory, proliferative and fibrotic diseases. The schematic presented below illustrates the inhibitory activity of rapamycin on the mTOR pathway.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038600" cy="3257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4038600" cy="3257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Rapamycin was first approved as an oral solution by the FDA in 1999 to prevent organ rejection in adolescent and adult patients receiving a kidney transplant. Rapamycin was subsequently approved as an intravenous injection to treat locally advanced unresectable or metastatic malignant perivascular epithelioid cell tumour, a rare cancer, as a topical formulation to treat facial angiofibroma with tuberous complex and as a coating for coronary stents to prevent restenosis. </w:t>
      </w:r>
    </w:p>
    <w:p>
      <w:pPr>
        <w:pStyle w:val="TextBody"/>
        <w:bidi w:val="0"/>
        <w:spacing w:before="240" w:after="0"/>
        <w:jc w:val="left"/>
        <w:rPr>
          <w:rFonts w:ascii="Times New Roman" w:hAnsi="Times New Roman"/>
          <w:sz w:val="20"/>
        </w:rPr>
      </w:pPr>
      <w:r>
        <w:rPr>
          <w:rFonts w:ascii="Times New Roman" w:hAnsi="Times New Roman"/>
          <w:sz w:val="20"/>
        </w:rPr>
        <w:t xml:space="preserve">In 2015, orally administered rapamycin received FDA approval to treat lymphangioleiomyomatosis (“LAM”), a rare disease that affects the lungs, kidneys and lymphatic system. LAM is caused by the proliferation of abnormal smooth muscle-like cells, which are referred to as LAM cells, which results in cystic lung destruction, airflow obstruction and impaired lymphatic drainage. As is evident in the data presented below conducted in an </w:t>
      </w:r>
      <w:r>
        <w:rPr>
          <w:rFonts w:ascii="Times New Roman" w:hAnsi="Times New Roman"/>
          <w:i/>
          <w:sz w:val="20"/>
        </w:rPr>
        <w:t>in vitro</w:t>
      </w:r>
      <w:r>
        <w:rPr>
          <w:rFonts w:ascii="Times New Roman" w:hAnsi="Times New Roman"/>
          <w:sz w:val="20"/>
        </w:rPr>
        <w:t xml:space="preserve"> hypoxia-stimulated model of mTOR activation in both human and rodent pulmonary arterial vascular smooth muscle cells, rapamycin demonstrated potent inhibition of mTOR activation and associated vascular smooth muscle cell proliferation and survival. </w:t>
      </w:r>
    </w:p>
    <w:p>
      <w:pPr>
        <w:pStyle w:val="TextBody"/>
        <w:bidi w:val="0"/>
        <w:spacing w:before="0" w:after="0"/>
        <w:jc w:val="left"/>
        <w:rPr/>
      </w:pPr>
      <w:r>
        <w:rPr/>
        <w:t> </w:t>
      </w:r>
    </w:p>
    <w:p>
      <w:pPr>
        <w:pStyle w:val="TextBody"/>
        <w:bidi w:val="0"/>
        <w:spacing w:before="0" w:after="0"/>
        <w:jc w:val="center"/>
        <w:rPr/>
      </w:pPr>
      <w:r>
        <w:rPr/>
        <w:drawing>
          <wp:inline distT="0" distB="0" distL="0" distR="0">
            <wp:extent cx="6200775" cy="2876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6200775" cy="28765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Systemic exposure to rapamycin, however, is burdened with numerous safety risks, including increased susceptibility to infection, lymphoma and malignancy: Opportunistic infections, Urinary tract infection, Upper respiratory tract infection, Nasopharyngitis, Pneumonia, Pneumocystis carinii pneumonia, Pyelonephritis, Sepsis, Herpes simplex infection, Herpes zoster BK virus-associated nephropathy, Progressive multifocal leukoencephalopathy (PML), Latent viral infection reactivation, Basal cell carcinoma, Squamous cell carcinoma, Melanoma, Lymphoma;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 / Thrombotic thrombocytopenic purpura / Thrombotic microangiopathy HUS/TTP/TMA; Interstitial lung disease (ILD); Non-infectious pneumonitis; Bronchial anastomotic dehiscence; Increased creatinine; Decline in renal function; Proteinuria; Hypercholesterolemia: Hypertriglyceridemia, Hyperlipidemia; Diabetes mellitus; Hypokalemia; Anemia; Leukopenia; Neutropenia; Thrombocytopenia; Pancytopenia; Arthralgia; Myalgia; Bone necrosis; Hepatotoxicity (including fatal hepatic necrosis); Hepatic artery thrombosis; Lymphocele; Lymphedema; Ovarian cysts; Menstrual disorders (including amenorrhea, menorrhagia); Increased lactate dehydrogenase (LDH); Headache; Dizziness; Fever; Pain; Abdominal pain; Constipation; Diarrhea; Nausea; Stomatitis; Acne; Rash; Exfoliative dermatitis; Abnormal/impaired wound healing. Clinical use of oral rapamycin has been further complicated by poor aqueous solubility, first-pass metabolism in the liver, and low bioavailability. As such, the concentration of drug in the blood stream can vary significantly, with some patients observed having as much as eight times higher exposure than others administered the same dose. This variability necessitates continuous plasma monitoring and frequent dose adjustments. These issues with oral rapamycin have also precluded its use to treat disorders, such as pulmonary diseases, where the drug may otherwise find therapeutic utility. </w:t>
      </w:r>
    </w:p>
    <w:p>
      <w:pPr>
        <w:pStyle w:val="TextBody"/>
        <w:bidi w:val="0"/>
        <w:spacing w:before="360" w:after="0"/>
        <w:jc w:val="left"/>
        <w:rPr>
          <w:rFonts w:ascii="Times New Roman" w:hAnsi="Times New Roman"/>
          <w:b/>
          <w:sz w:val="20"/>
        </w:rPr>
      </w:pPr>
      <w:r>
        <w:rPr>
          <w:rFonts w:ascii="Times New Roman" w:hAnsi="Times New Roman"/>
          <w:b/>
          <w:sz w:val="20"/>
        </w:rPr>
        <w:t xml:space="preserve">LAM-001: Our Development Candidate for Serious, Underserved Pulmonary Diseases </w:t>
      </w:r>
    </w:p>
    <w:p>
      <w:pPr>
        <w:pStyle w:val="TextBody"/>
        <w:bidi w:val="0"/>
        <w:spacing w:before="120" w:after="0"/>
        <w:jc w:val="left"/>
        <w:rPr>
          <w:rFonts w:ascii="Times New Roman" w:hAnsi="Times New Roman"/>
          <w:sz w:val="20"/>
        </w:rPr>
      </w:pPr>
      <w:r>
        <w:rPr>
          <w:rFonts w:ascii="Times New Roman" w:hAnsi="Times New Roman"/>
          <w:sz w:val="20"/>
        </w:rPr>
        <w:t xml:space="preserve">Our primary development candidate, LAM-001, is a proprietary inhaled dry powder formulation of rapamycin that is designed to provide numerous clinical advantages for the treatment of pulmonary diseases as compared to the oral formulation of rapamycin. These advantages include the targeted delivery of LAM-001 directly to the lung which is designed to enable higher local drug exposure and minimal systemic exposure, potentially resulting in an enhanced tolerability profile, as well as an easy-to-use, once-a-day dosing intended to increase convenience and improve patient compliance. We are currently developing LAM-001 as a potential disease modifying treatment for patients with three serious, underserved pulmonary diseases: PH-ILD, BOS and SAPH. We have completed a 10-patient Phase 2a trial of LAM-001 in PH and a 75-patient Phase 2b trial in PH-ILD is ongoing, with data expected in the first quarter of 2028. LAM-001 is also being evaluated in an ongoing Phase 2 clinical trial in BOS, which is fully enrolled with preliminary data projected to become available in the first quarter of 2027. We expect to initiate a Phase 2 trial to evaluate the use of LAM-001 as a treatment for SAPH in late 2026, with data expected in the fourth quarter of 2028. LAM-001 has been granted Orphan Drug Designation in the United States for BOS, sarcoidosis, pulmonary arterial hypertension and lymphangioleiomyomatosis. LAM-001 has been granted Orphan Drug Designation in the European Union for BOS and lymphangioleiomyomatosis. Orphan Drug Designation may provide certain development incentives and, if LAM-001 receives marketing approval for a designated indication, may make it eligible for orphan drug exclusivity for that approved indication, subject to applicable regulatory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Enhanced side-effect profile related to minimal systemic drug exposure </w:t>
      </w:r>
    </w:p>
    <w:p>
      <w:pPr>
        <w:pStyle w:val="TextBody"/>
        <w:bidi w:val="0"/>
        <w:spacing w:before="120" w:after="0"/>
        <w:jc w:val="left"/>
        <w:rPr>
          <w:rFonts w:ascii="Times New Roman" w:hAnsi="Times New Roman"/>
          <w:sz w:val="20"/>
        </w:rPr>
      </w:pPr>
      <w:r>
        <w:rPr>
          <w:rFonts w:ascii="Times New Roman" w:hAnsi="Times New Roman"/>
          <w:sz w:val="20"/>
        </w:rPr>
        <w:t>We evaluated LAM-001 in a Phase 1 clinical trial in adult female patients with LAM. The primary objective of the study was to evaluate the safety and tolerability of LAM-001 repeat dosing of 100 ug once daily over an initial 14-day period followed by an optional 84-day period. The secondary objective was pharmacokinetic assessments performed over an initial 14-day period followed by an optional 84-day period. Seven LAM patients received LAM-</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001 during the initial 14-day period with three patients continuing dosing through the optional 84-day second period. In the trial, LAM-001 was well tolerated through the 12 weeks of daily dosing. All AEs, the most common of which was cough, were primarily mild with no trial withdrawals, dose adjustments or Grade 3 or 4 AEs. There were no drug related SAEs. The blood rapamycin concentration among the three optional 84-day trial extension participants was observed to remain relatively consistent at approximately &lt;1 ng/ml. According to the oral rapamycin prescribing information, the target blood concentration of oral rapamycin for lymphangioleiomyomatosis patients ranges between 5 ng/ml to 15 ng/ml and target blood concentrations as high as 16—24 ng/ml are indicated for indications such as renal transplant. </w:t>
      </w:r>
    </w:p>
    <w:p>
      <w:pPr>
        <w:pStyle w:val="TextBody"/>
        <w:bidi w:val="0"/>
        <w:spacing w:before="0" w:after="0"/>
        <w:jc w:val="left"/>
        <w:rPr/>
      </w:pPr>
      <w:r>
        <w:rPr/>
        <w:t> </w:t>
      </w:r>
    </w:p>
    <w:p>
      <w:pPr>
        <w:pStyle w:val="TextBody"/>
        <w:bidi w:val="0"/>
        <w:spacing w:before="0" w:after="0"/>
        <w:jc w:val="center"/>
        <w:rPr/>
      </w:pPr>
      <w:r>
        <w:rPr/>
        <w:drawing>
          <wp:inline distT="0" distB="0" distL="0" distR="0">
            <wp:extent cx="4705350" cy="2524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4705350" cy="2524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LAM-001 Phase 1 repeat dose clinical study in patients with lymphangioleiomyomatosis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Importantly, stable maximal forced expiratory volume in one second (“FEV1”) was observed across trial participants in both periods. The FEV1 values achieved by the three trial LAM patients who participated in the optional 84-day second period are provided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553075" cy="2676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5553075" cy="26765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LAM-001 Phase 1 repeat dose clinical study in patients with lymphangioleiomyomatosis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Easy-to-use once-daily dosing designed for increased patient convenience and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enhance dosing convenience, which is intended to bolster patient compliance, LAM-001 consists of a dry powder formulation of 1% rapamycin, contained in a dry powder capsule for once daily administration with a capsule based dry powder inhaler. Aerosol performance and nonclinical </w:t>
      </w:r>
      <w:r>
        <w:rPr>
          <w:rFonts w:ascii="Times New Roman" w:hAnsi="Times New Roman"/>
          <w:i/>
          <w:sz w:val="20"/>
        </w:rPr>
        <w:t>in vivo</w:t>
      </w:r>
      <w:r>
        <w:rPr>
          <w:rFonts w:ascii="Times New Roman" w:hAnsi="Times New Roman"/>
          <w:sz w:val="20"/>
        </w:rPr>
        <w:t xml:space="preserve"> data support whole lung deposition achieved with the LAM-001 drug device combination. Capsule based Dry Powder inhalers are widely used for drugs delivered by DPI with millions of these devices sold annually. They are currently used to deliver numerous approved inhaled therapeutics including formoterol, budesonide, fluticasone and mannitol.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Targeted Disease Indications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developing LAM-001 as a potential disease modifying treatment for three serious, underserved pulmonary diseases: PH-ILD, BOS and SAPH. Rapamycin, the active ingredient in LAM-001, has demonstrated reduced pulmonary arterial smooth muscle cell hyperproliferation, improved endothelial cell function and decreased vascular remodeling in animal models of pulmonary hypertension. Separately, in BOS animal models, rapamycin has shown antifibrotic and immunoinflammatory-modulating activity, consistent with mTOR-dependent hyperactivation in this disease state. Combined, we believe these effects highlight the disease-modifying potential of LAM-001 across proliferative and fibrotic lung disease biology. A description of these diseases and considerations regarding the potential use of rapamycin to treat these diseases is discussed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Pulmonary Hypertension associated with Interstitial Lung Disease (PH-ILD) </w:t>
      </w:r>
    </w:p>
    <w:p>
      <w:pPr>
        <w:pStyle w:val="TextBody"/>
        <w:bidi w:val="0"/>
        <w:spacing w:before="120" w:after="0"/>
        <w:jc w:val="left"/>
        <w:rPr>
          <w:rFonts w:ascii="Times New Roman" w:hAnsi="Times New Roman"/>
          <w:sz w:val="20"/>
        </w:rPr>
      </w:pPr>
      <w:r>
        <w:rPr>
          <w:rFonts w:ascii="Times New Roman" w:hAnsi="Times New Roman"/>
          <w:sz w:val="20"/>
        </w:rPr>
        <w:t xml:space="preserve">Pulmonary hypertension (“PH”) is a heterogeneous collection of disorders characterized by elevated pressure in the pulmonary vasculature caused by adverse vascular remodeling with obstruction, stiffening and vasoconstriction leading to hypertrophy and failure of the heart’s right ventricle. Patients diagnosed with PH are clinically segregated into one of five classifications related to differences in disease etiology, clinical presentation and hemodynamic characteristics. Group 3 patients have PH caused by a chronic lung disease and/or hypoxia, with chronic obstructive pulmonary disease (“COPD”) and interstitial lung disease (“ILD”) being two large, distinct subgroups within Group 3 PH. COPD includes patients with emphysema, characterized by the destruction of the alveoli, and chronic bronchitis, which involves inflammation and excessive mucus production. ILD includes a broad group of disorders, such as idiopathic pulmonary fibrosis or connective tissue disease-associated ILD, characterized by inflammation and fibrosis of the lung parenchyma ultimately leading to progressive scarring and impaired gas exchange. The coexistence of PH and ILD is associated with early morbidity and mortality. PH-ILD has a five-year survival rate of 23%, which is worse than patients with either PH (five-year survival rate of 54%) or ILD (five-year survival rate of 54%) alone. Patients with PH and idiopathic pulmonary fibrosis, a particularly aggressive form of PH-ILD, have an estimated mean survival of approximately 2 years. The addressable PH-ILD patient population in the US and Europe is approximately 200,000 combined. </w:t>
      </w:r>
    </w:p>
    <w:p>
      <w:pPr>
        <w:pStyle w:val="TextBody"/>
        <w:bidi w:val="0"/>
        <w:spacing w:before="240" w:after="0"/>
        <w:jc w:val="left"/>
        <w:rPr>
          <w:rFonts w:ascii="Times New Roman" w:hAnsi="Times New Roman"/>
          <w:sz w:val="20"/>
        </w:rPr>
      </w:pPr>
      <w:r>
        <w:rPr>
          <w:rFonts w:ascii="Times New Roman" w:hAnsi="Times New Roman"/>
          <w:sz w:val="20"/>
        </w:rPr>
        <w:t xml:space="preserve">Other than lung transplantation, there is no known cure for PH-ILD. Orally inhaled treprostinil, a prostacyclin mimetic which increases pulmonary vasodilation, is the only therapeutic currently approved by the FDA to treat PH-ILD. Both Tyvaso® and Yutrepia® are approved for increased exercise ability only. Tyvaso® is approved for delivery as either a nebulized liquid or dry powder formulation. Yutrepia® is approved for DPI only. Both Tyvaso® and Yutrepia® require the administration of between three to five doses daily. </w:t>
      </w:r>
    </w:p>
    <w:p>
      <w:pPr>
        <w:pStyle w:val="TextBody"/>
        <w:bidi w:val="0"/>
        <w:spacing w:before="240" w:after="0"/>
        <w:jc w:val="left"/>
        <w:rPr>
          <w:rFonts w:ascii="Times New Roman" w:hAnsi="Times New Roman"/>
          <w:sz w:val="20"/>
        </w:rPr>
      </w:pPr>
      <w:r>
        <w:rPr>
          <w:rFonts w:ascii="Times New Roman" w:hAnsi="Times New Roman"/>
          <w:sz w:val="20"/>
        </w:rPr>
        <w:t xml:space="preserve">Rodent models of PH provided insight into the role of mTOR in PH and the utility of rapamycin in modulating mTOR activity. Cultured pulmonary arterial smooth muscle cells (“PASMCs”) taken from rats with monocrotaline (“MCT”) induced PH, when exposed to various growth factors, exhibit an abnormal proliferative phenotype associated with the sustained activation of the mTOR signaling pathway. This phenotype was suppressed by rapamycin when added to PASMC cultures and when administered to rats, further supporting the involvement of mTOR signaling. Representative examples of the results observed in the </w:t>
      </w:r>
      <w:r>
        <w:rPr>
          <w:rFonts w:ascii="Times New Roman" w:hAnsi="Times New Roman"/>
          <w:i/>
          <w:sz w:val="20"/>
        </w:rPr>
        <w:t>in vivo</w:t>
      </w:r>
      <w:r>
        <w:rPr>
          <w:rFonts w:ascii="Times New Roman" w:hAnsi="Times New Roman"/>
          <w:sz w:val="20"/>
        </w:rPr>
        <w:t xml:space="preserve"> studies are presented in the-cross sectional images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Rapamycin inhibited mTOR and reversed pulmonary artery smooth muscle cell (PASMC) proliferation in an in vivo study. </w:t>
      </w:r>
    </w:p>
    <w:p>
      <w:pPr>
        <w:pStyle w:val="TextBody"/>
        <w:bidi w:val="0"/>
        <w:spacing w:before="0" w:after="0"/>
        <w:jc w:val="left"/>
        <w:rPr/>
      </w:pPr>
      <w:r>
        <w:rPr/>
        <w:t> </w:t>
      </w:r>
    </w:p>
    <w:p>
      <w:pPr>
        <w:pStyle w:val="TextBody"/>
        <w:bidi w:val="0"/>
        <w:spacing w:before="0" w:after="0"/>
        <w:jc w:val="center"/>
        <w:rPr/>
      </w:pPr>
      <w:r>
        <w:rPr/>
        <w:drawing>
          <wp:inline distT="0" distB="0" distL="0" distR="0">
            <wp:extent cx="4067175" cy="1647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4067175" cy="16478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Houssaini, Am J Resp Cell Mol Bio 2013 </w:t>
      </w:r>
    </w:p>
    <w:p>
      <w:pPr>
        <w:pStyle w:val="TextBody"/>
        <w:bidi w:val="0"/>
        <w:spacing w:before="240" w:after="0"/>
        <w:jc w:val="left"/>
        <w:rPr>
          <w:rFonts w:ascii="Times New Roman" w:hAnsi="Times New Roman"/>
          <w:sz w:val="20"/>
        </w:rPr>
      </w:pPr>
      <w:r>
        <w:rPr>
          <w:rFonts w:ascii="Times New Roman" w:hAnsi="Times New Roman"/>
          <w:sz w:val="20"/>
        </w:rPr>
        <w:t xml:space="preserve">Treatment with rapamycin, when administered at the same time as MCT induction, also resulted in a significantly lower rise in pulmonary arterial pressure and significantly lower vascular occlusion in comparison to untreated controls. Moreover, rapamycin was also observed to reduce right-ventricular atrophy. </w:t>
      </w:r>
    </w:p>
    <w:p>
      <w:pPr>
        <w:pStyle w:val="TextBody"/>
        <w:bidi w:val="0"/>
        <w:spacing w:before="240" w:after="0"/>
        <w:jc w:val="left"/>
        <w:rPr>
          <w:rFonts w:ascii="Times New Roman" w:hAnsi="Times New Roman"/>
          <w:sz w:val="20"/>
        </w:rPr>
      </w:pPr>
      <w:r>
        <w:rPr>
          <w:rFonts w:ascii="Times New Roman" w:hAnsi="Times New Roman"/>
          <w:sz w:val="20"/>
        </w:rPr>
        <w:t xml:space="preserve">Further evidence of the potential therapeutic benefit of rapamycin in treating PH was provided by a 10-patient, six month proof-of-concept (“POC”) clinical trial conducted by Dr. Seyarth at the University of Leipzig, which evaluated the use of oral everolimus, a synthetic rapamycin, to treat both PAH patients and PH patients with chronic thromboembolic blockage, a Group 4 PH, who had been prescribed two or more vasodilators. Two patients dropped out of the trial, one following hospitalization due to clinical signs of heart failure (considered unlikely to be drug-related) and one following severe cough determined to be an episode of acute bronchitis (considered possibly drug related). Of the eight patients completing the trial, seven of the participants had significant improvement in PVR with PVR decreases of between 15% and 54% and one did not exhibit a change in PVR. The median PVR decrease for all 8 patients who completed the trial was 31%. Six of these eight trial participants improved 6MWD ranging from 28 to 240 meters while two patients decreased by 8 and 52 meters. The median 6MWD increase for all 8 patients who completed the trial was 62 meters. Reported side effects included elevation of cholesterol and triglyceride levels, none of which were reported as unexpected for patients receiving oral everolimus. </w:t>
      </w:r>
    </w:p>
    <w:p>
      <w:pPr>
        <w:pStyle w:val="TextBody"/>
        <w:bidi w:val="0"/>
        <w:spacing w:before="240" w:after="0"/>
        <w:jc w:val="left"/>
        <w:rPr>
          <w:rFonts w:ascii="Times New Roman" w:hAnsi="Times New Roman"/>
          <w:sz w:val="20"/>
        </w:rPr>
      </w:pPr>
      <w:r>
        <w:rPr>
          <w:rFonts w:ascii="Times New Roman" w:hAnsi="Times New Roman"/>
          <w:sz w:val="20"/>
        </w:rPr>
        <w:t xml:space="preserve">The results achieved in several </w:t>
      </w:r>
      <w:r>
        <w:rPr>
          <w:rFonts w:ascii="Times New Roman" w:hAnsi="Times New Roman"/>
          <w:i/>
          <w:sz w:val="20"/>
        </w:rPr>
        <w:t>in vivo</w:t>
      </w:r>
      <w:r>
        <w:rPr>
          <w:rFonts w:ascii="Times New Roman" w:hAnsi="Times New Roman"/>
          <w:sz w:val="20"/>
        </w:rPr>
        <w:t xml:space="preserve"> nonclinical studies (e.g., hypoxia-, monocrotaline-, and Sugen/hypoxia- induced models of PH) with rapamycin and the 10-patient POC clinical trial encouraged us to pursue a clinical trial evaluating the clinical benefit of inhaled rapamycin to treat advanced PH. Accordingly, we initiated a multicenter, single-arm, open-label exploratory Phase 2a trial of LAM-001 as an add-on therapy in ten adult patients diagnosed with either PAH (Group 1 PH), PH-ILD (Group 3 PH) or SAPH (Group 5 PH) who remained symptomatic despite the use of standard of care therapies. Prior to receiving LAM-001, trial participants underwent pulmonary and radial artery catheterization to enable invasive cardiopulmonary exercise testing (“iCPET”), a diagnostic procedure that allows direct measurement of cardiac and pulmonary function in conjunction with a bicycle exercise test. Patients in the trial were then administered 100 µg of LAM-001 through DPI, once daily for 24 weeks, while remaining on a stable regimen of background therapy prior to enrollment and throughout the study. The majority of patients were on triple background therapy with all PH-ILD patients on inhaled, oral or subcutaneous treprostinil. Baseline iCPET measurements taken prior to administration of LAM-001 were compared to iCPET measurements taken immediately upon completion of the 24-week dosing period. The primary endpoints of the trial were peak oxygen uptake, or VO2 Max, at 24 weeks as compared to baseline, in addition to safety and tolerability. Secondary endpoints included multiple hemodynamic measurements, including PVR, along with 6MWD and WHO functional class assessments. </w:t>
      </w:r>
    </w:p>
    <w:p>
      <w:pPr>
        <w:pStyle w:val="TextBody"/>
        <w:bidi w:val="0"/>
        <w:spacing w:before="240" w:after="0"/>
        <w:jc w:val="left"/>
        <w:rPr>
          <w:rFonts w:ascii="Times New Roman" w:hAnsi="Times New Roman"/>
          <w:sz w:val="20"/>
        </w:rPr>
      </w:pPr>
      <w:r>
        <w:rPr>
          <w:rFonts w:ascii="Times New Roman" w:hAnsi="Times New Roman"/>
          <w:sz w:val="20"/>
        </w:rPr>
        <w:t xml:space="preserve">Five patients with PAH, four patients with PH-ILD and one patient with pulmonary sarcoidosis (Group 5 PH) were enrolled in the Phase 2a clinical trial. Six of the ten trial participants completed the full 24-week trial period, with the four discontinuations all deemed unrelated to the drug candidate. As noted in the table presented below, LAM-001 produced consistent, clinically relevant improvement across multiple endpoints, with mean PVR, 6MWD, VO2 Max, NT-proBNP and FVC demonstrating notable improvements compared to baseline levels. Results of this Phase 2a trial were presented during the May 2026 American Thoracic Society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181725" cy="419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6181725" cy="419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 evidence of the potential clinical benefit provided by LAM-001 was documented by the functional class improvement observed during the trial period. At baseline, all ten trial participants were assessed as WHO Functional Class III . A Functional Class III designation indicates that, while resting may be symptom free, activities such as normal chores around the house are greatly limited due to shortness of breath or exhaustion. By Week 12, the majority had improved to Functional Class II with all six participants who completed the trial achieving Functional Class II status at 24 weeks. Significantly, two patients who participated in the trial achieved Functional Class I status, defined as symptom free in both resting or physically active states, one during the trial period and another six-months into a trial extension period. Changes in functional class among Phase 2a trial participants is presented in the chart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648200" cy="4448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1"/>
                    <a:stretch>
                      <a:fillRect/>
                    </a:stretch>
                  </pic:blipFill>
                  <pic:spPr bwMode="auto">
                    <a:xfrm>
                      <a:off x="0" y="0"/>
                      <a:ext cx="4648200" cy="4448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LAM-001 was well tolerated in this Phase 2a trial. No dose interruptions or adjustments were necessary due to AEs, and no participant discontinued the trial for reasons related to the drug candidate. Moreover, there were no drug-related SAEs, with the only reported drug-related AEs being one incidence of Grade 1 cough, one incidence of Grade 2 cough and one incidence of Grade 1 gingivitis.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favorable tolerability profile of LAM-001, together with the improvements observed in exercise capacity, hemodynamics, cardiac biomarkers and functional class, observed in these clinical trials, we initiated a Phase 2b evaluation of LAM-001 as a novel, disease modifying DPI therapy in adults between 18 and 70 years old (or above 70 years old with medical monitor approval) with Functional Class II or III PH-ILD whose PVR is 4 or greater and who are symptomatic despite stable background therapy. Approximately 75 participants, randomized into three 25-patient cohorts, are to be enrolled in this multi-center, placebo-controlled, double-blind trial. Two trial cohorts are to receive active drug candidate, one 100 µg once daily and the second 200 µg once daily, for 24 weeks. The third 25-person cohort is to receive placebo during the trial period. The primary endpoint of the Phase 2b trial is change in PVR. Secondary endpoints include change in 6MWD, time to and incidence of clinical worsening (defined as the occurrence of one of the following: death, lung transplantation or heart-lung transplantation, hospitalization related to worsening respiratory status/respiratory decompensation (&gt;24 hrs), worsened WHO functional class, a decline in 6MWD from baseline of 15% or more, or &gt;10% decline from baseline FVC). Safety and tolerability will also be assessed. Data from this ongoing Phase 2b clinical trial of LAM-001 is expected in the first quarter of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Bronchiolitis Obliterans post Lung Transplant </w:t>
      </w:r>
    </w:p>
    <w:p>
      <w:pPr>
        <w:pStyle w:val="TextBody"/>
        <w:bidi w:val="0"/>
        <w:spacing w:before="120" w:after="0"/>
        <w:jc w:val="left"/>
        <w:rPr>
          <w:rFonts w:ascii="Times New Roman" w:hAnsi="Times New Roman"/>
          <w:sz w:val="20"/>
        </w:rPr>
      </w:pPr>
      <w:r>
        <w:rPr>
          <w:rFonts w:ascii="Times New Roman" w:hAnsi="Times New Roman"/>
          <w:sz w:val="20"/>
        </w:rPr>
        <w:t xml:space="preserve">Obstructive chronic lung allograft dysfunction or BOS post lung transplant is a rare, progressive and irreversible lung disease characterized by the scarring and narrowing of the bronchioles, the smaller airways of the lung, leading to an irreversible decline in lung function and ultimate graft failure. As the disease progresses and lung function deteriorates, patients begin to experience shortness of breath, cough and wheezing. While the development of BOS post lung transplant varies in disease latency and severity, BOS is the leading cause of death following lung transplantation with a five-year survival rate of 54% among lung transplant recipients, which is well below that of other solid organ transplants, including heart (five-year survival of 72%), liver (five-year survival of 75%) and kidney (five-year survival of 74%). Disease progression is rapid with the median survival of lung transplant recipients post BOS onset of 2.5 years. Nearly all lung transplant patients will get BOS, with only 11% of lung transplant patients alive and free from BOS ten years after lung transplantation. While the definitive cause of BOS remains unknown, chronic alloimmune inflammation and dysregulated repair mechanisms drive progressive fibroproliferative remodeling of the small airways, resulting in sustained luminal narrowing and FEV1 decline. Other than a replacement transplant, there is no cure for BOS. In 2025, 3,490 lung transplants were performed in the US and we estimate approximately 4,000 will be conducted in 2026. The growth rate has accelerated in recent years over the 2,327 procedures in 2016. The increasing number of procedures is anticipated to lead to a growing prevalence of BOS. We estimate that the BOS patient population in the US and Europe combined will be approximately 30,000 by 2032. </w:t>
      </w:r>
    </w:p>
    <w:p>
      <w:pPr>
        <w:pStyle w:val="TextBody"/>
        <w:bidi w:val="0"/>
        <w:spacing w:before="0" w:after="0"/>
        <w:jc w:val="left"/>
        <w:rPr/>
      </w:pPr>
      <w:r>
        <w:rPr/>
        <w:t> </w:t>
      </w:r>
    </w:p>
    <w:p>
      <w:pPr>
        <w:pStyle w:val="TextBody"/>
        <w:bidi w:val="0"/>
        <w:spacing w:before="0" w:after="0"/>
        <w:jc w:val="center"/>
        <w:rPr/>
      </w:pPr>
      <w:r>
        <w:rPr/>
        <w:drawing>
          <wp:inline distT="0" distB="0" distL="0" distR="0">
            <wp:extent cx="5324475" cy="4086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2"/>
                    <a:stretch>
                      <a:fillRect/>
                    </a:stretch>
                  </pic:blipFill>
                  <pic:spPr bwMode="auto">
                    <a:xfrm>
                      <a:off x="0" y="0"/>
                      <a:ext cx="5324475" cy="40862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Standard treatment for BOS consists of long-term off-label immunosuppressive regimens that combine a calcineurin inhibitor, a cell cycle inhibitor and corticosteroids. Patients may also be administered fluticasone, oral montelukast and azithromycin (FAM) triple therapy. An alternate therapeutic combination replaces the cell cycle inhibitor with an oral mTOR inhibitor or adds an oral mTOR inhibitor to the regimen.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context of BOS, we believe mTOR inhibition with rapamycin may provide multifaceted benefit by suppressing not only adaptive immune responses but also fibroproliferative processes characteristic of obliterative bronchiolitis. Specifically, rapamycin inhibits effector T-cell differentiation and proliferation while promoting regulatory T cells (Tregs), reduces B-cell activation and antibody production (potentially mitigating antibody-mediated components of chronic rejection), and limits fibroblast proliferation, myofibroblast differentiation, and extracellular matrix deposition in the airways. It may also attenuate vascular smooth muscle cell hyperplasia, angiogenesis, and epithelial-mesenchymal transition that contribute to airway obliteration and remodeling. These effects collectively target the chronic alloimmune inflammation and dysregulated repair mechanisms driving progressive FEV1 decline in BOS. </w:t>
      </w:r>
    </w:p>
    <w:p>
      <w:pPr>
        <w:pStyle w:val="TextBody"/>
        <w:bidi w:val="0"/>
        <w:spacing w:before="240" w:after="0"/>
        <w:jc w:val="left"/>
        <w:rPr>
          <w:rFonts w:ascii="Times New Roman" w:hAnsi="Times New Roman"/>
          <w:sz w:val="20"/>
        </w:rPr>
      </w:pPr>
      <w:r>
        <w:rPr>
          <w:rFonts w:ascii="Times New Roman" w:hAnsi="Times New Roman"/>
          <w:sz w:val="20"/>
        </w:rPr>
        <w:t xml:space="preserve">One of the key metrics for BOS diagnosis, progression and prognosis is FEV1. BOS is defined as a sustained decline in FEV1 of 20% or more of post-transplant baseline levels provided that alternative causes of FEV1 decline have been excluded. BOS progression is tracked using a grading system ranging from Grade 0 (no BOS) to Grade 3 (Severe BOS), with each BOS grade defined by sequential declines in FEV1 as a percentage of post-transplant baseline FEV1 levels. Additionally, of note, each percentage decline in FEV1 has been found to be associated with a 3.4% increase in mortality.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impact of oral rapamycin on progressive BOS has been demonstrated in small trials. In a third-party trial of eleven post lung transplant BOS patients whose mean FEV1 value declined over the 12 months prior to treatment with rapamycin, daily oral dosing of rapamycin was observed to stabilize or increase pulmonary function in 8 of the 11 participants. The oral rapamycin dose was adjusted weekly to achieve plasma rapamycin levels between 8 and 12 ng/ml. The benefit of rapamycin in these 11 participants is reflected in the graphic presented below. </w:t>
      </w:r>
    </w:p>
    <w:p>
      <w:pPr>
        <w:pStyle w:val="TextBody"/>
        <w:bidi w:val="0"/>
        <w:spacing w:before="240" w:after="0"/>
        <w:jc w:val="center"/>
        <w:rPr>
          <w:rFonts w:ascii="Times New Roman" w:hAnsi="Times New Roman"/>
          <w:i/>
          <w:sz w:val="20"/>
        </w:rPr>
      </w:pPr>
      <w:r>
        <w:rPr>
          <w:rFonts w:ascii="Times New Roman" w:hAnsi="Times New Roman"/>
          <w:i/>
          <w:sz w:val="20"/>
        </w:rPr>
        <w:t xml:space="preserve">Post lung transplant BOS patients benefitted from the use of oral rapamycin.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5550" cy="2352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3"/>
                    <a:stretch>
                      <a:fillRect/>
                    </a:stretch>
                  </pic:blipFill>
                  <pic:spPr bwMode="auto">
                    <a:xfrm>
                      <a:off x="0" y="0"/>
                      <a:ext cx="2495550" cy="23526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Hernandez, et. al. Transplantation Proceedings, 2005. DOI: 10.1016/j.transproceed.2005.09.191 </w:t>
      </w:r>
    </w:p>
    <w:p>
      <w:pPr>
        <w:pStyle w:val="TextBody"/>
        <w:bidi w:val="0"/>
        <w:spacing w:before="240" w:after="0"/>
        <w:jc w:val="left"/>
        <w:rPr>
          <w:rFonts w:ascii="Times New Roman" w:hAnsi="Times New Roman"/>
          <w:sz w:val="20"/>
        </w:rPr>
      </w:pPr>
      <w:r>
        <w:rPr>
          <w:rFonts w:ascii="Times New Roman" w:hAnsi="Times New Roman"/>
          <w:sz w:val="20"/>
        </w:rPr>
        <w:t xml:space="preserve">As with PH-ILD, compliance with oral rapamycin dosing in this patient population has proven challenging due to side effects. Oral rapamycin is associated with numerous adverse events (“AEs”), including increased susceptibility to infection, lymphoma and malignancy: opportunistic infections, urinary tract infection, upper respiratory tract infection, nasopharyngitis, pneumonia, pneumocystis carinii pneumonia, pyelonephritis, sepsis, herpes simplex infection, herpes zoster, BK virus-associated nephropathy, progressive multifocal leukoencephalopathy (PML), latent viral infection reactivation, tuberculosis, basal cell carcinoma, squamous cell carcinoma, melanoma, lymphoma, neuroendocrine carcinoma of the skin (Merkel cell carcinoma);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 / thrombotic thrombocytopenic purpura / thrombotic microangiopathy HUS/TTP/TMA; interstitial lung disease (including pneumonitis, bronchiolitis obliterans organizing pneumonia [BOOP], and pulmonary fibrosis); non-infectious pneumonitis;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bronchial anastomotic dehiscence; increased creatinine; decline in renal function; proteinuria; nephrotic syndrome; focal segmental glomerulosclerosis; hypercholesterolemia: hypertriglyceridemia, hyperlipidemia; diabetes mellitus; increased AST/SGOT; increased ALT/SGPT; hyperglycemia; hypokalemia; anemia; leukopenia; neutropenia; thrombocytopenia; pancytopenia; arthralgia; myalgia; bone necrosis; hepatotoxicity (including fatal hepatic necrosis); hepatic artery thrombosis; lymphocele; lymphedema; posterior reversible encephalopathy syndrome; ovarian cysts; menstrual disorders (including amenorrhea, menorrhagia); azoospermia; increased lactate dehydrogenase (LDH); headache; dizziness; fever; pain; abdominal pain; constipation; diarrhea; nausea; stomatitis; acne; rash; exfoliative dermatitis; abnormal/impaired wound healing. </w:t>
      </w:r>
    </w:p>
    <w:p>
      <w:pPr>
        <w:pStyle w:val="TextBody"/>
        <w:bidi w:val="0"/>
        <w:spacing w:before="240" w:after="0"/>
        <w:jc w:val="left"/>
        <w:rPr>
          <w:rFonts w:ascii="Times New Roman" w:hAnsi="Times New Roman"/>
          <w:sz w:val="20"/>
        </w:rPr>
      </w:pPr>
      <w:r>
        <w:rPr>
          <w:rFonts w:ascii="Times New Roman" w:hAnsi="Times New Roman"/>
          <w:sz w:val="20"/>
        </w:rPr>
        <w:t xml:space="preserve">In a single-center study conducted by Dr. Stuckey at the University of Michigan in 49 patients administered oral rapamycin post lung transplant, 55% discontinued therapy due to adverse events including fatigue, edema, pneumonitis, and renal dysfunction. In addition, because of its low and variable oral bioavailability, rapamycin requires frequent plasma monitoring and dose adjustments to achieve target concentrations. We believe that the minimization of systemic toxicities through the use of an inhaled formulation of rapamycin may address tolerability issues while also enabling targeted drug delivery with higher local exposure. Additionally, we believe the once-daily, fixed dosed administration of LAM-001 has the potential to bolster convenience and ease-of-use for improved patient compliance. </w:t>
      </w:r>
    </w:p>
    <w:p>
      <w:pPr>
        <w:pStyle w:val="TextBody"/>
        <w:bidi w:val="0"/>
        <w:spacing w:before="240" w:after="0"/>
        <w:jc w:val="left"/>
        <w:rPr>
          <w:rFonts w:ascii="Times New Roman" w:hAnsi="Times New Roman"/>
          <w:sz w:val="20"/>
        </w:rPr>
      </w:pPr>
      <w:r>
        <w:rPr>
          <w:rFonts w:ascii="Times New Roman" w:hAnsi="Times New Roman"/>
          <w:sz w:val="20"/>
        </w:rPr>
        <w:t xml:space="preserve">To investigate the use of LAM-001 as DPI therapy to treat post lung transplant BOS, an investigator-initiated 48-week, double-blind, placebo-controlled, investigator-sponsored clinical trial involving 19 adult patients newly diagnosed with BOS who underwent a bilateral transplant is currently being conducted at UCSF. Patient enrollment is restricted to patients newly diagnosed with BOS (within the first 12 months of diagnosis) with FEV1 between 51% and 85% of best post-transplant FEV1. The 19 participants have been randomized into two cohorts, an active cohort receiving 100 µg LAM-001 once-daily and a placebo cohort for 48 weeks, followed by an open-label trial extension. The primary endpoint to be evaluated is percent change from baseline FEV1 at 48 weeks or termination of treatment (whichever occurs first). Secondary endpoints include the absolute change from baseline in FEV1 to 48 weeks or to termination of treatment (whichever occurs first), change in rate of progression in FEV1 in the time period (up to 12 months) prior to enrollment compared to rate of progression from enrollment to 48 weeks or to termination of treatment (whichever occurs first), and progression free survival (defined as time to earliest to occur of either a greater than 10% decline in FEV1 or death from respiratory failure or re-transplantation). Safety and tolerability will also be assessed. The trial was fully enrolled in January 2026, with top-line data expected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Trial design provided for an interim assessment of patient status conducted in February 2026. At that time, 5 of the 19 trial participants enrolled in the ongoing blinded study were observed to have an FEV1 decline of 10% or more from the time of enrollment. </w:t>
      </w:r>
    </w:p>
    <w:p>
      <w:pPr>
        <w:pStyle w:val="TextBody"/>
        <w:bidi w:val="0"/>
        <w:spacing w:before="360" w:after="0"/>
        <w:jc w:val="left"/>
        <w:rPr>
          <w:rFonts w:ascii="Times New Roman" w:hAnsi="Times New Roman"/>
          <w:i/>
          <w:sz w:val="20"/>
        </w:rPr>
      </w:pPr>
      <w:r>
        <w:rPr>
          <w:rFonts w:ascii="Times New Roman" w:hAnsi="Times New Roman"/>
          <w:i/>
          <w:sz w:val="20"/>
        </w:rPr>
        <w:t xml:space="preserve">Sarcoidosis-Associated Pulmonary Hypertension (SAPH) </w:t>
      </w:r>
    </w:p>
    <w:p>
      <w:pPr>
        <w:pStyle w:val="TextBody"/>
        <w:bidi w:val="0"/>
        <w:spacing w:before="120" w:after="0"/>
        <w:jc w:val="left"/>
        <w:rPr>
          <w:rFonts w:ascii="Times New Roman" w:hAnsi="Times New Roman"/>
          <w:sz w:val="20"/>
        </w:rPr>
      </w:pPr>
      <w:r>
        <w:rPr>
          <w:rFonts w:ascii="Times New Roman" w:hAnsi="Times New Roman"/>
          <w:sz w:val="20"/>
        </w:rPr>
        <w:t xml:space="preserve">Sarcoidosis is a systemic inflammatory condition characterized by the formation of granulomas. An estimated 20% of patients with sarcoidosis develop a chronic and persistent condition which can result in irreversible fibrotic tissue damage and organ failure. While sarcoidosis can affect various organs and tissues, the lungs and pulmonary function are impacted in 90% of cases. The origin of sarcoidosis remains unknown. </w:t>
      </w:r>
    </w:p>
    <w:p>
      <w:pPr>
        <w:pStyle w:val="TextBody"/>
        <w:bidi w:val="0"/>
        <w:spacing w:before="240" w:after="0"/>
        <w:jc w:val="left"/>
        <w:rPr>
          <w:rFonts w:ascii="Times New Roman" w:hAnsi="Times New Roman"/>
          <w:sz w:val="20"/>
        </w:rPr>
      </w:pPr>
      <w:r>
        <w:rPr>
          <w:rFonts w:ascii="Times New Roman" w:hAnsi="Times New Roman"/>
          <w:sz w:val="20"/>
        </w:rPr>
        <w:t xml:space="preserve">SAPH, categorized within Group 5 PH, is an uncommon complication that affects an estimated 15% of patients with pulmonary sarcoidosis, and is associated with increased morbidity and mortality. With a five-year survival rate of 55%, SAPH has an 8 to 10 times higher mortality rate than pulmonary sarcoidosis alone. The incidence of SAPH in patients with pulmonary sarcoidosis is estimated to be between 6% and 28%, with the prevalence in pulmonary sarcoidosis patients awaiting lung transplant as high as 74%. There are collectively an estimated 60,000 patients with SAPH in the US and Europe.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FDA-approved therapies for SAPH. Therapeutics used to treat PAH, including sildenafil, prostacyclins and endothelin receptor antagonists (ERA), are commonly used off label but with limited benefit. Approximately 22% of SAPH patients receive no PH specific therapy. </w:t>
      </w:r>
    </w:p>
    <w:p>
      <w:pPr>
        <w:pStyle w:val="TextBody"/>
        <w:bidi w:val="0"/>
        <w:spacing w:before="240" w:after="0"/>
        <w:jc w:val="left"/>
        <w:rPr>
          <w:rFonts w:ascii="Times New Roman" w:hAnsi="Times New Roman"/>
          <w:sz w:val="20"/>
        </w:rPr>
      </w:pPr>
      <w:r>
        <w:rPr>
          <w:rFonts w:ascii="Times New Roman" w:hAnsi="Times New Roman"/>
          <w:sz w:val="20"/>
        </w:rPr>
        <w:t xml:space="preserve">We believe scientific and clinical observations involving sarcoidosis provide compelling support for the potential therapeutic utility of DPI rapamycin to treat SAPH. mTOR activation is commonly seen in granulomas of patients across different tissues and has been shown to induce sarcoidosis-like granulomas in a mouse model. In addition, the one participant with pulmonary sarcoidosis included in our Phase 2a clinical trial demonstrated significant improvement after administration of LAM-001, including a 162 meter improvement in the 6MWD score at the Week 24 trial completion, a 41% and 66% improvement in the PVR resting and peak exercise tests, respectively, and a 7% improvement in VO2 Max. As such, we expect to initiate a Phase 2 trial specifically to assess its use as a treatment for SAPH. </w:t>
      </w:r>
    </w:p>
    <w:p>
      <w:pPr>
        <w:pStyle w:val="TextBody"/>
        <w:bidi w:val="0"/>
        <w:spacing w:before="360" w:after="0"/>
        <w:jc w:val="left"/>
        <w:rPr>
          <w:rFonts w:ascii="Times New Roman" w:hAnsi="Times New Roman"/>
          <w:b/>
          <w:sz w:val="20"/>
        </w:rPr>
      </w:pPr>
      <w:r>
        <w:rPr>
          <w:rFonts w:ascii="Times New Roman" w:hAnsi="Times New Roman"/>
          <w:b/>
          <w:sz w:val="20"/>
        </w:rPr>
        <w:t xml:space="preserve">Other Development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ownership rights in additional drug candidates, AIT-101, AIT-102, and AIDE technology platform. </w:t>
      </w:r>
    </w:p>
    <w:p>
      <w:pPr>
        <w:pStyle w:val="TextBody"/>
        <w:bidi w:val="0"/>
        <w:spacing w:before="240" w:after="0"/>
        <w:jc w:val="left"/>
        <w:rPr>
          <w:rFonts w:ascii="Times New Roman" w:hAnsi="Times New Roman"/>
          <w:sz w:val="20"/>
        </w:rPr>
      </w:pPr>
      <w:r>
        <w:rPr>
          <w:rFonts w:ascii="Times New Roman" w:hAnsi="Times New Roman"/>
          <w:sz w:val="20"/>
        </w:rPr>
        <w:t xml:space="preserve">AIT-101 </w:t>
      </w:r>
    </w:p>
    <w:p>
      <w:pPr>
        <w:pStyle w:val="TextBody"/>
        <w:bidi w:val="0"/>
        <w:spacing w:before="240" w:after="0"/>
        <w:jc w:val="left"/>
        <w:rPr>
          <w:rFonts w:ascii="Times New Roman" w:hAnsi="Times New Roman"/>
          <w:sz w:val="20"/>
        </w:rPr>
      </w:pPr>
      <w:r>
        <w:rPr>
          <w:rFonts w:ascii="Times New Roman" w:hAnsi="Times New Roman"/>
          <w:sz w:val="20"/>
        </w:rPr>
        <w:t xml:space="preserve">AIT-101 (apilimod dimesylate capsule) is an orally administered, potent and highly selective inhibitor of phosphatidylinositol-3-phosphate 5-kinase (PIKfyve) that has therapeutic potential in neurological diseases. Clinical studies of AIT-101 have been conducted in amyotrophic lateral sclerosis (“ALS”), non-hodgkin’s lymphoma (“NHL”), coronavirus disease 2019 (“COVID-19”), psoriasis, Crohn’s disease, and rheumatoid arthritis. </w:t>
      </w:r>
    </w:p>
    <w:p>
      <w:pPr>
        <w:pStyle w:val="TextBody"/>
        <w:bidi w:val="0"/>
        <w:spacing w:before="240" w:after="0"/>
        <w:jc w:val="left"/>
        <w:rPr>
          <w:rFonts w:ascii="Times New Roman" w:hAnsi="Times New Roman"/>
          <w:sz w:val="20"/>
        </w:rPr>
      </w:pPr>
      <w:r>
        <w:rPr>
          <w:rFonts w:ascii="Times New Roman" w:hAnsi="Times New Roman"/>
          <w:sz w:val="20"/>
        </w:rPr>
        <w:t xml:space="preserve">Apilimod binds to PIKfyve with high affinity (dissociation constant [KD] = 75 pM) and selectivity; in a panel of 456 normal and disease-related protein and lipid kinases, apilimod binding was only detected for PIKfyve. Three active metabolites of apilimod have been identified that also bind to PIKfyve with high affinity (KD range from 61 to 90 pM). The half maximal inhibitory concentration (IC50) is 14 nM and, in vitro, AIT-101 inhibition of PIKfyve has been shown to disrupt endosome and lysosome membrane trafficking. </w:t>
      </w:r>
    </w:p>
    <w:p>
      <w:pPr>
        <w:pStyle w:val="TextBody"/>
        <w:bidi w:val="0"/>
        <w:spacing w:before="240" w:after="0"/>
        <w:jc w:val="left"/>
        <w:rPr>
          <w:rFonts w:ascii="Times New Roman" w:hAnsi="Times New Roman"/>
          <w:sz w:val="20"/>
        </w:rPr>
      </w:pPr>
      <w:r>
        <w:rPr>
          <w:rFonts w:ascii="Times New Roman" w:hAnsi="Times New Roman"/>
          <w:sz w:val="20"/>
        </w:rPr>
        <w:t xml:space="preserve">In vitro and in vivo preclinical studies assessed the pharmacologic activity of AIT-101 in ALS models. AIT-101 significantly improved in a dose-dependent manner the survival of patient derived induced motor neurons (iMNs) with common ALS mutations (SOD1-G93A, TDP-43N930D or C9ORF72) following glutamate challenge. In a TDP-43 mouse model of ALS, AIT-101 treatment improved motor function, weight retention, and survival while reducing TDP-43 aggregates. Furthermore, AIT-101 cleared poly(GP) dipeptide repeat aggregates in brain tissues in a C9orf72 mouse model. </w:t>
      </w:r>
    </w:p>
    <w:p>
      <w:pPr>
        <w:pStyle w:val="TextBody"/>
        <w:bidi w:val="0"/>
        <w:spacing w:before="240" w:after="0"/>
        <w:jc w:val="left"/>
        <w:rPr>
          <w:rFonts w:ascii="Times New Roman" w:hAnsi="Times New Roman"/>
          <w:sz w:val="20"/>
        </w:rPr>
      </w:pPr>
      <w:r>
        <w:rPr>
          <w:rFonts w:ascii="Times New Roman" w:hAnsi="Times New Roman"/>
          <w:sz w:val="20"/>
        </w:rPr>
        <w:t xml:space="preserve">Most recently, a randomized, placebo controlled, Phase 2a study of AIT-101 in 15 ALS subjects with the c9orf72 mutation showed a favorable tolerability profile as well as a 72% decline in the polyGP biomarker. At this time, we anticipate that any further development of AIT-101 will be limited to non-dilutive funding sources obtained in partnership with government or academic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AIT-102 </w:t>
      </w:r>
    </w:p>
    <w:p>
      <w:pPr>
        <w:pStyle w:val="TextBody"/>
        <w:bidi w:val="0"/>
        <w:spacing w:before="240" w:after="0"/>
        <w:jc w:val="left"/>
        <w:rPr>
          <w:rFonts w:ascii="Times New Roman" w:hAnsi="Times New Roman"/>
          <w:sz w:val="20"/>
        </w:rPr>
      </w:pPr>
      <w:r>
        <w:rPr>
          <w:rFonts w:ascii="Times New Roman" w:hAnsi="Times New Roman"/>
          <w:sz w:val="20"/>
        </w:rPr>
        <w:t xml:space="preserve">AIT-102 is a novel molecule that was selected from a series of analogues of the natural product mithramycin. Mithramycin was originally isolated from the soil bacteria Streptomyces agrillaceus, and was first approved as a pharmaceutical agent in 1970. Manufacture of mithramycin for pharmaceutical use was discontinued in 2000. AIT-102 is an analogue of mithramycin that binds reversibly to DNA in the minor groove, notably in G/C-rich regions of DNA. Many of these G/C rich DNA sites function as promoter regions of growth-promoting genes and transcription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AIT-102 was selected for its potential to have an improved therapeutic window over mithramycin, a distinction supported by mouse studies showing that mithramycin caused sharp AST/ALT elevations at its low MTD of 0.8 mg/kg, whereas AIT-102 produced no hepatic enzyme increases even at a ten-fold higher dose. AIT-102 has demonstrated high antitumor activity against numerous human, including pediatric, tumor cell lines, with 50% growth inhibition (GI50) values between 10 nM and 1 µM. AIT-102 suppressed xenograft growth in a Ewing sarcoma model by attenuating EWS-FLI1 fusion activity as measured by NR0B1 GGAA-microsatelite response. In a SMARCB1-deficient rhabdoid tumor model, a single 3-day infusion produced tumor regressions and complete cures in a subset of xenograft-bearing mice; both increased H3K27 methylation, a marker of SWI/SNF displacement, and increased apoptosis were seen without significant DNA damage. Multiple mechanistic and in vivo studies have demonstrated that AIT-102 matched or exceeded the on-target activity of mithramycin while avoiding the toxicities that had limited mithramycin’s clinical utility. </w:t>
      </w:r>
    </w:p>
    <w:p>
      <w:pPr>
        <w:pStyle w:val="TextBody"/>
        <w:bidi w:val="0"/>
        <w:spacing w:before="240" w:after="0"/>
        <w:jc w:val="left"/>
        <w:rPr>
          <w:rFonts w:ascii="Times New Roman" w:hAnsi="Times New Roman"/>
          <w:sz w:val="20"/>
        </w:rPr>
      </w:pPr>
      <w:r>
        <w:rPr>
          <w:rFonts w:ascii="Times New Roman" w:hAnsi="Times New Roman"/>
          <w:sz w:val="20"/>
        </w:rPr>
        <w:t xml:space="preserve">At this time, we anticipate that continued development of the AIT-102 program will be limited to non-dilutive support through the NCI-Next program, including CMC and GLP safety testing, and through partnership with academic collaborators. </w:t>
      </w:r>
    </w:p>
    <w:p>
      <w:pPr>
        <w:pStyle w:val="TextBody"/>
        <w:bidi w:val="0"/>
        <w:spacing w:before="360" w:after="0"/>
        <w:jc w:val="left"/>
        <w:rPr>
          <w:rFonts w:ascii="Times New Roman" w:hAnsi="Times New Roman"/>
          <w:b/>
          <w:sz w:val="20"/>
        </w:rPr>
      </w:pPr>
      <w:r>
        <w:rPr>
          <w:rFonts w:ascii="Times New Roman" w:hAnsi="Times New Roman"/>
          <w:b/>
          <w:sz w:val="20"/>
        </w:rPr>
        <w:t xml:space="preserve">AIDE Technology Platform </w:t>
      </w:r>
    </w:p>
    <w:p>
      <w:pPr>
        <w:pStyle w:val="TextBody"/>
        <w:bidi w:val="0"/>
        <w:spacing w:before="120" w:after="0"/>
        <w:jc w:val="left"/>
        <w:rPr>
          <w:rFonts w:ascii="Times New Roman" w:hAnsi="Times New Roman"/>
          <w:sz w:val="20"/>
        </w:rPr>
      </w:pPr>
      <w:r>
        <w:rPr>
          <w:rFonts w:ascii="Times New Roman" w:hAnsi="Times New Roman"/>
          <w:sz w:val="20"/>
        </w:rPr>
        <w:t xml:space="preserve">Prior to the Acquisition, our business was focused on developing our proprietary Autologous Intracellular Drug Encapsulation (“AIDE”) technology for the treatment of Ataxia-Telangiectasia (“A-T”) through our encapsulated dexamethasone sodium phosphate encapsulated in patient’s own red blood cells (“eDSP”) product candidate. In January 2026, we completed our pivotal Phase 3 NEAT clinical trial of eDSP for the treatment of A-T. As previously disclosed, the primary endpoints of the NEAT trial did not reach statistical significance. Based on the results of the NEAT trial, we determined that we would no longer continue development of eDSP in this or other therapeutic indications, and we are currently considering next steps for the eDSP program.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Supply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manufacturing facilities, nor do we have plans to develop our own manufacturing operations in the foreseeable future. We rely, and expect to continue to rely for the foreseeable future, on specialized external manufacturers to supply all our required raw materials, drug substance, drug product and the inhalation device needed to support our clinical development activities and, if approved, potential commercial demand. We have entered into a license and supply agreement with Plastiape S.p.A. that provides us with exclusive rights with respect to the capsule based dry powder inhaler, a capsule-based, refillable single-dose DPI, and rapamycin for LAM-001. We believe this outsourced manufacturing strategy allows us to maintain a capital-efficient operating model while focusing our internal resources on the development and future commercialization of LAM-001.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the biotechnology and pharmaceutical industries have made substantial investments into the development of novel treatments for serious, underserved pulmonary diseases, such as PH-ILD, BOS and SAPH. </w:t>
      </w:r>
    </w:p>
    <w:p>
      <w:pPr>
        <w:pStyle w:val="TextBody"/>
        <w:bidi w:val="0"/>
        <w:spacing w:before="240" w:after="0"/>
        <w:jc w:val="left"/>
        <w:rPr>
          <w:rFonts w:ascii="Times New Roman" w:hAnsi="Times New Roman"/>
          <w:sz w:val="20"/>
        </w:rPr>
      </w:pPr>
      <w:r>
        <w:rPr>
          <w:rFonts w:ascii="Times New Roman" w:hAnsi="Times New Roman"/>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pulmonary diseases and disorders.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Tyvaso®, sold by United Therapeutics Inc, and Yutrepia®, sold by Liquidia, the two currently FDA-approved inhaled treprostinil products used to treat patients with PH-ILD, commercial and academic preclinical studies and clinical trials are being undertaken by various parties to assess novel technologies and product candidates. Companies that compete with us directly on the level of the development of product candidates targeting PH-ILD include AllRock Bio, Apollo Therapeutics, Foresee Pharmaceuticals, Gossamer Bio, Halo Biosciences, Insmed Incorporated, Liquidia Corporation, Pharmosa Biopharm, Pulmovant, Tectonic Therapeutic, and United Therapeutics Corporation. </w:t>
      </w:r>
    </w:p>
    <w:p>
      <w:pPr>
        <w:pStyle w:val="TextBody"/>
        <w:bidi w:val="0"/>
        <w:spacing w:before="240" w:after="0"/>
        <w:jc w:val="left"/>
        <w:rPr>
          <w:rFonts w:ascii="Times New Roman" w:hAnsi="Times New Roman"/>
          <w:sz w:val="20"/>
        </w:rPr>
      </w:pPr>
      <w:r>
        <w:rPr>
          <w:rFonts w:ascii="Times New Roman" w:hAnsi="Times New Roman"/>
          <w:sz w:val="20"/>
        </w:rPr>
        <w:t xml:space="preserve">Companies that compete with us directly for BOS include Renovion, Sanofi, and Zambon.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FDA-approved drugs specifically indicated for the treatment of SAPH. However, drugs indicated for PAH are frequently used off-label for the treatment of patients with SAPH, including drugs manufactured by Bayer, Eli Lilly, Gilead, Johnson &amp; Johnson, Liquidia, Pfizer, and United Therapeutics. </w:t>
      </w:r>
    </w:p>
    <w:p>
      <w:pPr>
        <w:pStyle w:val="TextBody"/>
        <w:bidi w:val="0"/>
        <w:spacing w:before="240" w:after="0"/>
        <w:jc w:val="left"/>
        <w:rPr>
          <w:rFonts w:ascii="Times New Roman" w:hAnsi="Times New Roman"/>
          <w:sz w:val="20"/>
        </w:rPr>
      </w:pPr>
      <w:r>
        <w:rPr>
          <w:rFonts w:ascii="Times New Roman" w:hAnsi="Times New Roman"/>
          <w:sz w:val="20"/>
        </w:rPr>
        <w:t xml:space="preserve">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sizable collaborative arrangements with established companies. These competitors also compete with us in recruiting and retaining qualified scientific and management personnel, in establishing clinical trial sites and patient registration for clinical trials, as well as in acquiring technologies complementary to, or necessary for, our programs.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opportunity could be reduced or eliminated if one or more of our competitors develop and commercialize products that are safer, more effective, better tolerated, or of greater convenience or economic benefit than our proposed product offers.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proprietary nature of, and protection for, our product candidates and their methods of use are an important part of our strategy to develop and commercialize novel medicines, as described in more detail below. We have obtained patents and filed patent applications in the United States and other countries relating to certain of our proprietary technology, inventions, improvements, and product candidates, and are pursuing additional patent protection for them. </w:t>
      </w:r>
    </w:p>
    <w:p>
      <w:pPr>
        <w:pStyle w:val="TextBody"/>
        <w:bidi w:val="0"/>
        <w:spacing w:before="240" w:after="0"/>
        <w:jc w:val="left"/>
        <w:rPr>
          <w:rFonts w:ascii="Times New Roman" w:hAnsi="Times New Roman"/>
          <w:sz w:val="20"/>
        </w:rPr>
      </w:pPr>
      <w:r>
        <w:rPr>
          <w:rFonts w:ascii="Times New Roman" w:hAnsi="Times New Roman"/>
          <w:sz w:val="20"/>
        </w:rPr>
        <w:t xml:space="preserve">We seek to protect the proprietary technologies that we believe are important to our business by pursuing and maintaining patent protection in the United States and internationally. Our patent strategy is directed toward obtaining and maintaining claims covering compositions of matter, methods of use, formulations, and manufacturing processes related to LAM-001, as well as other inventions important to our business. We currently own issued U.S. and international patents directed to LAM-001 and related technologies. Our issued patents are expected to expire in 2035, without taking into account any potential patent term adjustments or extensions.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 protection, we rely on trade secrets and proprietary know-how to protect aspects of our business that are not amenable to, or that we do not consider appropriate for, patent protection. These include certain proprietary aspects of our manufacturing processes for LAM-001 and our other development candidates. We seek to protect our trade secrets through confidentiality and invention assignment agreements with our employees, consultants, contractors, and collaborators.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also intend to rely on regulatory exclusivity where available, including orphan drug exclusivity, data exclusivity, and pediatric exclusivity, as well as patent term extensions under the Hatch-Waxman Act or equivalent foreign mechanisms, to supplement our patent protection and extend the commercial life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As of June 22, 2026, we own 106 issued patents in 35 jurisdictions, including 16 issued U.S. patents and 88 issued foreign patents. We also own 9 pending U.S. non-provisional patent applications as well as approximately 25 corresponding patent applications pending in other jurisdictions and 1 pending U.S. provisional patent application . In addition, we own 2 pending international patent applications filed under the Patent Cooperation Treaty, which we plan to file nationally in the United States and other jurisdictions. Grouped into approximately 20 live patent families, these patents and applications provide robust patent protection for our product pipelines.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LAM-001, we own 9 issued U.S. patents with composition and method of use claims covering uses relating to this product. These issued US patents are expected to expire in 2034-2035. In addition, we own 25 related patents in Europe, Australia, North America, South America, and Asia that will expire between 2034-2035. We also own 5 pending U.S. non-provisional applications and 1 pending non-provisional application and 2 pending applications in China and WIPO. In addition, we own 2 pending Patent Cooperation Treaty (PCT) patent applications and provisional applications directed to composition of matter and new uses relating to this product. If granted, these pending applications would expire in 2035 – 2047.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AIT-101, we own 7 issued U.S. patents. These U.S. patents are expected to expire in 2034-2044. In addition, we own 4 related patents in Australia, Canada and Japan that are expected to expire in 2037-2039. We also own 4 pending U.S. applications and 24 related pending applications in Australia, Brazil, Canada, China, Europe, Hong Kong, India, Israel, Japan, Mexico, New Zealand, South Korea &amp; Taiwan. If granted these pending applications would expire in 2039-2044.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AIT-102, we own 2 issued U.S. Patents. These U.S. patents are expected to expire in 2030-2037. In addition we own 16 related patents in Europe (France, Germany, Italy, Liechtenstein, Spain, Switzerland, and the United Kingdom) that are expected to expire in 2030-2036.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Quince legacy assets, we own 22 issued patents, including 3 issued U.S. patents, and 5 pending applications, including 1 pending U.S. application and 4 pending applications outside the United States. The issued patent rights are expected to expire between 2027-2042 and, if granted, the pending applications would expire in 2043. </w:t>
      </w:r>
    </w:p>
    <w:p>
      <w:pPr>
        <w:pStyle w:val="TextBody"/>
        <w:bidi w:val="0"/>
        <w:spacing w:before="240" w:after="0"/>
        <w:jc w:val="left"/>
        <w:rPr>
          <w:rFonts w:ascii="Times New Roman" w:hAnsi="Times New Roman"/>
          <w:sz w:val="20"/>
        </w:rPr>
      </w:pPr>
      <w:r>
        <w:rPr>
          <w:rFonts w:ascii="Times New Roman" w:hAnsi="Times New Roman"/>
          <w:sz w:val="20"/>
        </w:rPr>
        <w:t xml:space="preserve">We expect to file additional patent applications in support of current and new clinical candidates as well as new platform and core technologies.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success will depend in part on obtaining and maintaining patent protection and trade secret protection of LAM-001, future product candidates, and the methods used to develop and manufacture them, as well as successfully defending any such patents against third-party challenges, preserving the confidentiality of our trade secrets,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or USPTO, in examining and granting a patent, or may be shortened if a patent is terminally disclaimed over an earlier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filed patent. In certain foreign jurisdictions, similar extensions as compensation for regulatory delays are also available. The actual protection afforded by a patent varies on a claim by claim and country by country basis and depends upon many factors, including the type of patent, the scope of its coverage, the availability of any patent term extensions or adjustments, the availability of legal remedies in a particular country and the validity and enforceability of the patent. In particular, up to a five-year extension may be available in Europe and Japan. We plan to seek such extensions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 protection, we also rely on trade secret protection for our proprietary information that is not amenable to, or that we do not consider appropriate for, patent protection, including, for example, aspects of our manufacturing processes for LAM-001. However, trade secrets can be difficult to protect. Although we take steps to protect our proprietary information, including restrictions on access to our premises and our confidential information, as well as entering into agreements with our employees, consultants, advisors, and potential collaborators, such individuals may breach such agreements and disclose our proprietary information including our trade secrets, and we may not be able to obtain adequate remedies for such breaches. In addition, third parties may independently develop the same or similar proprietary information or may otherwise gain access to our proprietary information. As a result, we may be unable to meaningfully protect our trade secrets and proprietary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pharmaceutical products are approved by the FDA for marketing under the Federal Food, Drug, and Cosmetic Act (“FDCA”). The FDCA and its implementing regulations govern, among other things, the testing, manufacturing, safety, purity, potency, efficacy, labeling, packaging, storage, recordkeeping, distribution, marketing, sales, import, export, reporting, advertising, and other promotional practices involving pharmaceutical products. FDA clearance of an IND application must be obtained before commencing clinical testing of pharmaceutical products. FDA approval of an NDA must be obtained before marketing of pharmaceutical products. The process of obtaining regulatory approvals and the subsequent compliance with appropriate federal, state, local, and foreign statutes and regulations require the expenditure of substantial time and financial resources. </w:t>
      </w:r>
    </w:p>
    <w:p>
      <w:pPr>
        <w:pStyle w:val="TextBody"/>
        <w:bidi w:val="0"/>
        <w:spacing w:before="360" w:after="0"/>
        <w:jc w:val="left"/>
        <w:rPr>
          <w:rFonts w:ascii="Times New Roman" w:hAnsi="Times New Roman"/>
          <w:i/>
          <w:sz w:val="20"/>
        </w:rPr>
      </w:pPr>
      <w:r>
        <w:rPr>
          <w:rFonts w:ascii="Times New Roman" w:hAnsi="Times New Roman"/>
          <w:i/>
          <w:sz w:val="20"/>
        </w:rPr>
        <w:t xml:space="preserve">U.S.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The process required by the FDA before a pharmaceutical product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Good Laboratory Practices (“GLPs”) and applicable requirements for the humane use of laboratory animals or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clinical trial material in accordance with cGMPs;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application for an IND application,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institutional review board (“IRB”), reviewing each clinical site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according to GCPs and any additional requirements for the protection of human research subjects and their health information, to establish the safety, purity, potency, and efficacy, of the proposed pharmaceutical product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for marketing approval that includes substantive evidence of safety and efficacy from results of nonclinical testing and clinical trials as well as payment of a substantial user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prior to NDA approval of the manufacturing facility or facilities where the drug substance or finished pharmaceutical product is produced to assess compliance with cGMPs, to assure that the facilities, methods, and controls are adequate to preserve the final finished product’s identity, strength, quality, and purity;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and clinical study sites that generated the data in support of the 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10"/>
        <w:gridCol w:w="9292"/>
      </w:tblGrid>
      <w:tr>
        <w:trPr/>
        <w:tc>
          <w:tcPr>
            <w:tcW w:w="4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advisory committee meeting to elicit expert input on critical issues and including a vote by external committee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2"/>
        <w:gridCol w:w="509"/>
        <w:gridCol w:w="9294"/>
      </w:tblGrid>
      <w:tr>
        <w:trPr/>
        <w:tc>
          <w:tcPr>
            <w:tcW w:w="40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REMS, and the potential requirement to conduct post approval studies.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pharmaceutical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 </w:t>
      </w:r>
    </w:p>
    <w:p>
      <w:pPr>
        <w:pStyle w:val="TextBody"/>
        <w:bidi w:val="0"/>
        <w:spacing w:before="240" w:after="0"/>
        <w:jc w:val="left"/>
        <w:rPr>
          <w:rFonts w:ascii="Times New Roman" w:hAnsi="Times New Roman"/>
          <w:sz w:val="20"/>
        </w:rPr>
      </w:pPr>
      <w:r>
        <w:rPr>
          <w:rFonts w:ascii="Times New Roman" w:hAnsi="Times New Roman"/>
          <w:sz w:val="20"/>
        </w:rPr>
        <w:t xml:space="preserve">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pharmaceutical product candidate at any time before or during clinical trials due to safety concerns or non-compliance. If the FDA imposes a clinical hold, trials may not be recommenced without FDA authorization and then only under terms authorized by the FDA.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may involve the administration of the pharmaceutical product candidate to healthy volunteers or subjects under the supervision of qualified investigators.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ensure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their legal representatives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b/>
                <w:i/>
                <w:sz w:val="20"/>
              </w:rPr>
              <w:t>Phase 1</w:t>
            </w:r>
            <w:r>
              <w:rPr>
                <w:rFonts w:ascii="Times New Roman" w:hAnsi="Times New Roman"/>
                <w:sz w:val="20"/>
              </w:rPr>
              <w:t xml:space="preserve">. The pharmaceutical product is initially introduced into healthy human subjects and tested for safety. In the case of some products for rare diseases, the initial human testing is often conducted in patients.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b/>
                <w:i/>
                <w:sz w:val="20"/>
              </w:rPr>
              <w:t>Phase 2</w:t>
            </w:r>
            <w:r>
              <w:rPr>
                <w:rFonts w:ascii="Times New Roman" w:hAnsi="Times New Roman"/>
                <w:sz w:val="20"/>
              </w:rPr>
              <w:t xml:space="preserve">. The pharmaceutical product is evaluated in a limited patient population to identify possible adverse effects and safety risks, preliminarily evaluate the efficacy of the product for specific targeted diseases, and determine dosage tolerance, optimal dosage, and dosing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b/>
                <w:i/>
                <w:sz w:val="20"/>
              </w:rPr>
              <w:t>Phase 3</w:t>
            </w:r>
            <w:r>
              <w:rPr>
                <w:rFonts w:ascii="Times New Roman" w:hAnsi="Times New Roman"/>
                <w:sz w:val="20"/>
              </w:rPr>
              <w:t xml:space="preserve">. Clinical trials are undertaken to further evaluate dosage, clinical efficacy, potency, and safety in an expanded patient population at geographically dispersed clinical trial sites. These clinical trials are intended to establish the overall risk/benefit ratio of the product and provide an adequate basis for product labeling. In rare diseases where patient populations are small and there is an urgent need for treatment, Phase 3 trials might not be required if an adequate risk/benefit can be demonstrated by the Phase 2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or for additional efficacy confirmation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the FDA requires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serious suspected adverse reactions over those listed in the protocol or investigator brochure. The sponsor must submit an IND safety report within 15 calendar days after the sponsor determines that the information qualifies for such reporting. The sponsor also must notify the FDA of any unexpected fatal or life-threatening suspected adverse reaction within 7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study drug has been associated with unexpected serious harm to patients.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physical characteristics of the pharmaceutical product as well as finalize a well controlled process for manufacturing the product in commercial quantities in accordance with cGMP requirements. The manufacturing process must be capable of consistently producing quality batches of the product candidate and, among other things, the sponsor must develop methods for testing the identity, strength, quality, potency, and purity of the final pharmaceutical product. Additionally, appropriate packaging must be selected and tested and stability studies must be conducted to demonstrate that the pharmaceutical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 Information about certain clinical trials must be submitted within specific timeframes for public dissemination on the clinicaltrials.gov website. </w:t>
      </w:r>
    </w:p>
    <w:p>
      <w:pPr>
        <w:pStyle w:val="TextBody"/>
        <w:bidi w:val="0"/>
        <w:spacing w:before="360" w:after="0"/>
        <w:jc w:val="left"/>
        <w:rPr>
          <w:rFonts w:ascii="Times New Roman" w:hAnsi="Times New Roman"/>
          <w:i/>
          <w:sz w:val="20"/>
        </w:rPr>
      </w:pPr>
      <w:r>
        <w:rPr>
          <w:rFonts w:ascii="Times New Roman" w:hAnsi="Times New Roman"/>
          <w:i/>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trials of a pharmaceutical product , FDA approval of an NDA must be obtained before commercial marketing of the product begins. The NDA must include results of product development, laboratory, and animal studies, human studies, information on the manufacture and composition of the product, proposed labeling, and other relevant information. Under the Prescription Drug User Fee Act, as amended (“PDUFA”), each NDA may be accompanied by a significant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for product candidates designated as orphan drugs, unless the product candidate also includes a non-orphan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60 days following submission of the application, the FDA reviews an NDA submitted to determine if it is substantially complete before the agency accepts it for filing. The FDA may refuse to file any NDA that it deems incomplete or not properly reviewable at the time of submission and may request additional information. In this event, the NDA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NDA can be refused for filing. Once the submission is accepted for filing, the FDA begins an in-depth substantive review of the NDA. The FDA reviews the NDA to determine, among other things, whether the proposed product is safe and effective for its intended use, and whether the product is being manufactured in accordance with cGMPs to ensure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pharmaceutical product approval process, the FDA also will determine whether a REMS is necessary to ensure the safe use of the pharmaceutical product . If the FDA concludes a REMS is needed, the sponsor of the NDA must submit a proposed REMS (Risk Evaluation and Mitigation Strategy); the FDA will not approve the NDA without a REMS, if required.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an NDA, the FDA may inspect the facilities at which the product is manufactured. The FDA will not approve the product unless it determines that the manufacturing processes and facilities are in compliance with cGMP requirements and adequate to ensure consistent production of the product within required specifications. Additionally, before approving an NDA, the FDA will typically inspect one or more clinical trial sites to ensure that the clinical trials were conducted in compliance with IND study requirements and GCP requirements. Notwithstanding the submission of relevant data and information, the FDA may ultimately decide that the NDA does not satisfy its regulatory criteria for approval and issue a complete response letter that describes all the specific deficiencies in the NDA identified by the FDA. The deficiencies identified may be minor, such as requiring labeling changes, or major, such as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the deficiencies identified in the letter, or withdraw the application.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 further assess a pharmaceutical product’s safety and effectiveness, and testing and surveillance programs to monitor the safety of approved products that have been commercialized. As a condition for approval, the FDA may also require additional nonclinical testing as a Phase 4 commitment. </w:t>
      </w:r>
    </w:p>
    <w:p>
      <w:pPr>
        <w:pStyle w:val="TextBody"/>
        <w:bidi w:val="0"/>
        <w:spacing w:before="240" w:after="0"/>
        <w:jc w:val="left"/>
        <w:rPr>
          <w:rFonts w:ascii="Times New Roman" w:hAnsi="Times New Roman"/>
          <w:sz w:val="20"/>
        </w:rPr>
      </w:pPr>
      <w:r>
        <w:rPr>
          <w:rFonts w:ascii="Times New Roman" w:hAnsi="Times New Roman"/>
          <w:sz w:val="20"/>
        </w:rPr>
        <w:t xml:space="preserve">One of the performance goals agreed to by the FDA under the PDUFA is to review standard NDAs in ten months from filing and priority NDAs in six months from filing, in each case from the acceptance for filing date that is 60 days after the applicant submits the NDA. The review process and the PDUFA goal date may be extended by three months if the FDA requests or the NDA sponsor otherwise provides additional information or clarification regarding information already provided in the submission within the last three months before the PDUFA goal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505(b)(2)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Section 505(b)(2) of the Federal Food, Drug, and Cosmetic Act provides a regulatory pathway for certain new drug applications, or NDAs, that permits an applicant to rely, in part, without a right of reference, to the FDA’s previous findings of safety and effectiveness for an approved drug or published scientific literature. An applicant seeking approval under the 505(b)(2) pathway must nonetheless submit sufficient data to support approval of its product, including data needed to establish a scientific bridge between the applicant’s product and the data or findings on which it seeks to rely. The type and amount of additional information required by the FDA depend on the nature of the proposed product and the differences between that product and the reference product or underlying literature. As a result, a 505(b)(2) application may require one or more clinical, nonclinical, pharmacokinetic, bioavailability, bioequivalence or other studies, as well as a full chemistry, manufacturing and controls package.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Maintaining substantial compliance with applicable federal, state, and local statutes and regulations requires the expenditure of substantial time and financial resources. Rigorous and extensive FDA regulation of pharmaceutical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approval, the manufacturing facilities are subject to inspections by the FDA,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regarding whether FDA approval is required in advance. If not done in accordance with FDA expectations, the FDA may restrict supply and may take further action. Product reports are required to be submitted annually. Other post-approval requirements applicable to pharmaceutical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Pharmaceutical product manufacturers and other entities involved in the manufacture and distribution of approved pharmaceutical products are required to register their establishments with the FDA and certain state agencies, and they are subject to periodic unannounced inspections by the FDA and certain state agencies for compliance with cGMPs and other laws. Accordingly, manufacturers must continue to expend time, money, and effort in the areas of production and quality control to maintain cGMP compliance. Manufacturers and other parties involved in the drug supply chain for prescription drug products must also comply with product tracking and tracing requirements and notifying the FDA of counterfeit, diverted, stolen and intentionally adulterated products or products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unfit for distribution in the United States. Discovery of problems with a product after approval may result in restrictions on a product, manufacturer, or holder of an approved NDA ,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Drug Designation (“ODD”), to a pharmaceutical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pharmaceutical product available in the United States for this type of disease or condition will be recovered from sales of the product. ODD must be requested before submitting an NDA. After the FDA grants ODD, the identity of the therapeutic agent and its potential orphan use are disclosed publicly by the FDA. ODD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ODD receives the first FDA approval for the disease or condition for which it has such designation, the product is entitled to orphan product exclusivity, which means that the FDA may not approve any other applications to market the same pharmaceutical product for the same indication for seven years, except in limited circumstances, such as not being able to supply the product for patients or showing clinical superiority to the product with orphan exclusivity. </w:t>
      </w:r>
    </w:p>
    <w:p>
      <w:pPr>
        <w:pStyle w:val="TextBody"/>
        <w:bidi w:val="0"/>
        <w:spacing w:before="240" w:after="0"/>
        <w:jc w:val="left"/>
        <w:rPr>
          <w:rFonts w:ascii="Times New Roman" w:hAnsi="Times New Roman"/>
          <w:sz w:val="20"/>
        </w:rPr>
      </w:pPr>
      <w:r>
        <w:rPr>
          <w:rFonts w:ascii="Times New Roman" w:hAnsi="Times New Roman"/>
          <w:sz w:val="20"/>
        </w:rPr>
        <w:t xml:space="preserve">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pharmaceutical product as defined by the FDA or if our product candidate is determined to be contained within the competitor’s product for the same indication or disease. If a pharmaceutical product designated as an orphan product receives marketing approval for an indication broader than what is designated, it may not be entitled to orphan product exclusivity.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Review and Approval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including Fast Track designation, priority review, accelerated approval, and breakthrough therapy designation, that are intended to expedite or simplify the process for the development and FDA review of pharmaceutical products that are intended for the treatment of serious or life-threatening diseases or conditions and demonstrate the potential to address unmet medical needs. The purpose of these programs is to provide important new pharmaceutical products to patients earlier than under standard FDA review procedures. To be eligible for a Fast Track designation, the FDA must determine, based on the request of a sponsor, that a pharmaceutical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before the application is complete, a process known as rolling review. </w:t>
      </w:r>
    </w:p>
    <w:p>
      <w:pPr>
        <w:pStyle w:val="TextBody"/>
        <w:bidi w:val="0"/>
        <w:spacing w:before="240" w:after="0"/>
        <w:jc w:val="left"/>
        <w:rPr>
          <w:rFonts w:ascii="Times New Roman" w:hAnsi="Times New Roman"/>
          <w:sz w:val="20"/>
        </w:rPr>
      </w:pPr>
      <w:r>
        <w:rPr>
          <w:rFonts w:ascii="Times New Roman" w:hAnsi="Times New Roman"/>
          <w:sz w:val="20"/>
        </w:rPr>
        <w:t xml:space="preserve">The FDA may grant priority review designation to pharmaceutical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pharmaceutical products that are studied for their safety and effectiveness in treating serious or life-threatening illnesses and that provide meaningful therapeutic benefit over existing treatments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receive accelerated approval and may be approved on the basis of adequate and well-controlled clinical trials establishing that the pharmaceutical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pharmaceutical product receiving accelerated approval to perform adequate and well-controlled post-marketing studies to verify and describe the predicted effect on irreversible morbidity or mortality or another clinical endpoint. The FDA may require, as appropriate, that such trials be underway prior to approval or within a specific time period after the date of approval for a product granted accelerated approval.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w:t>
      </w:r>
    </w:p>
    <w:p>
      <w:pPr>
        <w:pStyle w:val="TextBody"/>
        <w:bidi w:val="0"/>
        <w:spacing w:before="240" w:after="0"/>
        <w:jc w:val="left"/>
        <w:rPr>
          <w:rFonts w:ascii="Times New Roman" w:hAnsi="Times New Roman"/>
          <w:sz w:val="20"/>
        </w:rPr>
      </w:pPr>
      <w:r>
        <w:rPr>
          <w:rFonts w:ascii="Times New Roman" w:hAnsi="Times New Roman"/>
          <w:sz w:val="20"/>
        </w:rPr>
        <w:t xml:space="preserve">Moreover, a sponsor can request designation of a product candidate as a “breakthrough therapy.” A breakthrough therapy is defined as a pharmaceutical product that is intended, alone or in combination with one or more other drugs or biologics, to treat a serious or life-threatening disease or condition, and preliminary clinical evidence indicates that the pharmaceutical product may demonstrate substantial improvement over existing therapies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qualifies for one or more of these programs, the FDA may later decide that the product no longer meets the conditions for qualification or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In the European Union, clinical trials of investigational medicinal products are governed by Regulation (EU) No. 536/2014, commonly referred to as the Clinical Trials Regulation, or CTR. Under the CTR, a sponsor seeking to conduct a clinical trial in one or more EU Member States submits a clinical trial application through the Clinical Trials Information System, or CTIS. The application dossier is generally divided into Part I and Part II. Part I includes the scientific and medicinal product documentation and is subject to a coordinated assessment led by a reporting Member State, with input from the other concerned Member States in which the sponsor seeks authorization. Part II includes Member State-specific and patient-facing documentation, such as informed consent materials and certain local regulatory documents, and is assessed separately by each concerned Member State in accordance with its national requirements. Ethics committees continue to play a role in the review process as determined by the national law of each concerned Member State, while the overall procedures, decision-making framework and applicable timelines are established by the CTR. The CTR also provides a harmonized framework for ongoing clinical trial supervision and for the submission of substantial modifications, safety reports and other lifecycle-related communications through CTIS.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of our medicinal products under the European Union regulatory system, we are required to submit a marketing authorization application (“MAA”), to be assessed in the centralized procedure. The centralized procedure allows applicants to obtain a marketing authorization (“MA”) that is valid throughout the European Union, and the additional Member States of the European Economic Area (Iceland, Liechtenstein and Norway) (“EEA”). It is compulsory for medicinal products manufactured using biotechnological processes, orphan medicinal products, advanced therapy medicinal products (gene-therapy, somatic cell-therapy or tissue-engineered medicines) and human products containing a new active substance which is not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 requirements, and whether the product has a positive risk/benefit profile. The procedure results in a European Commission decision, which is valid in all European Union Member States. The centralized procedure is as follows: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 </w:t>
      </w:r>
    </w:p>
    <w:p>
      <w:pPr>
        <w:pStyle w:val="TextBody"/>
        <w:bidi w:val="0"/>
        <w:spacing w:before="240" w:after="0"/>
        <w:jc w:val="left"/>
        <w:rPr>
          <w:rFonts w:ascii="Times New Roman" w:hAnsi="Times New Roman"/>
          <w:sz w:val="20"/>
        </w:rPr>
      </w:pPr>
      <w:r>
        <w:rPr>
          <w:rFonts w:ascii="Times New Roman" w:hAnsi="Times New Roman"/>
          <w:sz w:val="20"/>
        </w:rPr>
        <w:t xml:space="preserve">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product characteristics (“SmPC”),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 </w:t>
      </w:r>
    </w:p>
    <w:p>
      <w:pPr>
        <w:pStyle w:val="TextBody"/>
        <w:bidi w:val="0"/>
        <w:spacing w:before="240" w:after="0"/>
        <w:jc w:val="left"/>
        <w:rPr>
          <w:rFonts w:ascii="Times New Roman" w:hAnsi="Times New Roman"/>
          <w:sz w:val="20"/>
        </w:rPr>
      </w:pPr>
      <w:r>
        <w:rPr>
          <w:rFonts w:ascii="Times New Roman" w:hAnsi="Times New Roman"/>
          <w:sz w:val="20"/>
        </w:rPr>
        <w:t xml:space="preserve">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public health, the disputed points may eventually be referred to the European Commission, whose decision is binding on all Member States. Where a product has already been authorized for marketing in a European Union Member State, this national MA can be recognized in other Member States through the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chronically debilitating condition that affects no more than five in 10,000 persons in the European Union when the application is made. In addition, orphan designation can be granted if the product is intended for a life threatening, seriously debilitating, or serious and chronic condition in the European Union where, without incentives, 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applicable orphan condition or, if such a method exists, the proposed orphan medicinal product would be of significant benefit to patients affected by such condition, as defined in Regulation (EC) 847/2000. </w:t>
      </w:r>
    </w:p>
    <w:p>
      <w:pPr>
        <w:pStyle w:val="TextBody"/>
        <w:bidi w:val="0"/>
        <w:spacing w:before="240" w:after="0"/>
        <w:jc w:val="left"/>
        <w:rPr>
          <w:rFonts w:ascii="Times New Roman" w:hAnsi="Times New Roman"/>
          <w:sz w:val="20"/>
        </w:rPr>
      </w:pPr>
      <w:r>
        <w:rPr>
          <w:rFonts w:ascii="Times New Roman" w:hAnsi="Times New Roman"/>
          <w:sz w:val="20"/>
        </w:rPr>
        <w:t xml:space="preserve">Orphan designation provides opportunities for fee reductions, protocol assistance, and access to the centralized procedure. Fee reductions are limited to the first year after an MA, except for small and medium enterprises.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 profitable not to justify maintenance of market exclusivity. Additionally, an MA may be granted to a similar medicinal product for the same indication at any time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10"/>
        <w:gridCol w:w="9292"/>
      </w:tblGrid>
      <w:tr>
        <w:trPr/>
        <w:tc>
          <w:tcPr>
            <w:tcW w:w="4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that its product, although similar to the authorized product, is safer, more effective or otherwise clinically superior;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 holder of the authorized product consents to a second orphan medicinal product application;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10"/>
        <w:gridCol w:w="9292"/>
      </w:tblGrid>
      <w:tr>
        <w:trPr/>
        <w:tc>
          <w:tcPr>
            <w:tcW w:w="4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 holder of the authorized product cannot supply enough orphan medicinal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pediatric investigation plan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(“PUMA”). If a PUMA is granted, the product will benefit from ten years of market protection as an incentive. </w:t>
      </w:r>
    </w:p>
    <w:p>
      <w:pPr>
        <w:pStyle w:val="TextBody"/>
        <w:bidi w:val="0"/>
        <w:spacing w:before="240" w:after="0"/>
        <w:jc w:val="left"/>
        <w:rPr>
          <w:rFonts w:ascii="Times New Roman" w:hAnsi="Times New Roman"/>
          <w:sz w:val="20"/>
        </w:rPr>
      </w:pPr>
      <w:r>
        <w:rPr>
          <w:rFonts w:ascii="Times New Roman" w:hAnsi="Times New Roman"/>
          <w:sz w:val="20"/>
        </w:rPr>
        <w:t xml:space="preserve">In March 2016, the EMA launched an initiative, the PRIority Medicines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candidate medicine has been selected for the PRIME scheme, a dedicated contact and rapporteur from the CHMP or from the Committee for Advanced Therapies (“CAT”) are appointed early in the PRIME scheme facilitating increased understanding of the product at EMA’s committee level. An initial meeting with the CHMP/CAT rapporteur initiates these relationships and includes a team of multidisciplinary experts at the EMA to provide guidance on the overall development and regulatory strategies. PRIME eligibility does not change the standards for product approval, and there is no assurance that any such designation or eligibility will result in expedited review or approval.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European Union rules are generally applicable in the EEA. The United Kingdom left the European Union on January 31, 2020, and the United Kingdom and the European Union have concluded a trade and cooperation agreement (“TCA”) which was provisionally applicable since January 1, 2021 and has been formally applicable since May 1, 2021. </w:t>
      </w:r>
    </w:p>
    <w:p>
      <w:pPr>
        <w:pStyle w:val="TextBody"/>
        <w:bidi w:val="0"/>
        <w:spacing w:before="240" w:after="0"/>
        <w:jc w:val="left"/>
        <w:rPr>
          <w:rFonts w:ascii="Times New Roman" w:hAnsi="Times New Roman"/>
          <w:sz w:val="20"/>
        </w:rPr>
      </w:pPr>
      <w:r>
        <w:rPr>
          <w:rFonts w:ascii="Times New Roman" w:hAnsi="Times New Roman"/>
          <w:sz w:val="20"/>
        </w:rPr>
        <w:t xml:space="preserve">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Except with respect to the new European Union Clinical Trials Regulation, the regulatory regime in Great Britain largely aligns with current European Union medicines regulations. However, it is possible that these regimes will diverge more significantly in the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a new framework mentioned below which will be put in place by the Medicines and Healthcare products Regulatory Agency (“MHRA”), the United Kingdom’s medicines regulator (MHRA) has stated that, beginning in January 1, 2024, it will take into account decisions on the approval of MAs from the EMA (and certain other regulators) when considering an application for a Great Britain MA.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Britain and Northern Ireland), and the EMA will no longer have any role in approving medicinal products destined for Northern Ireland. A single United Kingdom-wide MA will be granted by the MHRA for all medicinal products to be sold in the United Kingdom, enabling products to be sold in a single pack and under a single authorization throughout the United Kingdom. The Windsor Framework was approved by the European Union-United Kingdom Joint Committee on March 24, 2023, so the United Kingdom government and the European Union will enact legislative measures to bring it into law. </w:t>
      </w:r>
    </w:p>
    <w:p>
      <w:pPr>
        <w:pStyle w:val="TextBody"/>
        <w:bidi w:val="0"/>
        <w:spacing w:before="240" w:after="0"/>
        <w:jc w:val="left"/>
        <w:rPr>
          <w:rFonts w:ascii="Times New Roman" w:hAnsi="Times New Roman"/>
          <w:sz w:val="20"/>
        </w:rPr>
      </w:pPr>
      <w:r>
        <w:rPr>
          <w:rFonts w:ascii="Times New Roman" w:hAnsi="Times New Roman"/>
          <w:sz w:val="20"/>
        </w:rPr>
        <w:t xml:space="preserve">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 of charge on January 1, 2021. For a period of three years from January 1, 2021, the MHRA could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would be put in place beginning January 1, 2024, which would have regard to decisions on the approval of MAs made by the EMA and certain other regulators when determining an application for a new Great Britain 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 </w:t>
      </w:r>
    </w:p>
    <w:p>
      <w:pPr>
        <w:pStyle w:val="TextBody"/>
        <w:bidi w:val="0"/>
        <w:spacing w:before="360" w:after="0"/>
        <w:jc w:val="left"/>
        <w:rPr>
          <w:rFonts w:ascii="Times New Roman" w:hAnsi="Times New Roman"/>
          <w:b/>
          <w:sz w:val="20"/>
        </w:rPr>
      </w:pPr>
      <w:r>
        <w:rPr>
          <w:rFonts w:ascii="Times New Roman" w:hAnsi="Times New Roman"/>
          <w:b/>
          <w:sz w:val="20"/>
        </w:rPr>
        <w:t xml:space="preserve">Healthcare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Health care providers, including physicians,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5"/>
        <w:gridCol w:w="9297"/>
      </w:tblGrid>
      <w:tr>
        <w:trPr/>
        <w:tc>
          <w:tcPr>
            <w:tcW w:w="403"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statements statute, which prohibits knowingly and willfully falsifying, concealing or covering up a material fact or making any materially false statement in connection with the delivery of or payment for health care benefits, items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Foreign Corrupt Practices ACT (“FCPA”) which prohibits companies and their intermediaries from making, or offering or promising to make improper payments to non-U.S. officials for the purpose of obtaining or retaining business or otherwise seeking favorable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known as the federal Physician Payments Sunshine Act, enacted as part of the Patient Protection and Affordable Health Care Act, as amended by the Health Care and Education Reconciliation Act (collectively, the “ACA”),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health care items or services that are reimbursed by non-government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some state and local laws require certain regulatory licenses to manufacture or distribute our products commercially and/or the registration of pharmaceutical sales representatives in the jurisdiction. 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Violations of such laws may result in significant penalties, including criminal, civil and administrative penalties, damages, fines, disgorgement, imprisonment, exclusion from participation in government healthcare programs, contractual damages, reputational harm, integrity oversight and reporting obligations, diminished profits and future earnings, and the curtailment or restructuring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Pharmaceutical 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Even if we obtain coverage for our product candidates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for our product candidates or any product that we may develop, and any reimbursement that may become available may be decreased or eliminated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increasingly are challenging prices charged for pharmaceutical products, and many third-party payors may refuse to provide coverage and reimbursement for particular drugs when an equivalent generic drug or a less expensive therapy is available. It is possible that a third-party payor may consider our product candidates as substitutable and only offer to reimburse patients for the cost of the less expensive product. Even if we show improved efficacy or improved convenience of administration with our product candidates, pricing of existing third-party therapeutics may limit the amounts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investment in the development of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The Medicare and Medicaid programs increasingly are used as models in the United States for how private payors and other governmental payors develop their coverage and reimbursement policies for drug.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t>
      </w:r>
    </w:p>
    <w:p>
      <w:pPr>
        <w:pStyle w:val="TextBody"/>
        <w:bidi w:val="0"/>
        <w:spacing w:before="240" w:after="0"/>
        <w:jc w:val="left"/>
        <w:rPr>
          <w:rFonts w:ascii="Times New Roman" w:hAnsi="Times New Roman"/>
          <w:sz w:val="20"/>
        </w:rPr>
      </w:pPr>
      <w:r>
        <w:rPr>
          <w:rFonts w:ascii="Times New Roman" w:hAnsi="Times New Roman"/>
          <w:sz w:val="20"/>
        </w:rPr>
        <w:t xml:space="preserve">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amounts that we are able to charge for our product candidates. Accordingly, in markets outside the United States, the reimbursement for our product candidates may be reduced compared with the United States and may be insufficient to generate commercially reasonable revenue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has become intense. As a result, increasingly high barriers are being erected to the entry of new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24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HHS, the FDA, the U.S. Centers for Medicare and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Data Privacy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process personal or sensitive data, including data related to participants in clinical trials. Accordingly, we are, and may in the future become, subject to numerous data privacy and security obligations, including federal, state, local, and foreign laws, regulations, guidance, and industry standards related to data privacy, security, and protection. We are, or may become, subject to various U.S. federal and state consumer protection laws which require us to publish statements that accurately and fairly describe how we handle personal data and choices individuals may have about the way we handle their personal data. </w:t>
      </w:r>
    </w:p>
    <w:p>
      <w:pPr>
        <w:pStyle w:val="TextBody"/>
        <w:bidi w:val="0"/>
        <w:spacing w:before="240" w:after="0"/>
        <w:jc w:val="left"/>
        <w:rPr>
          <w:rFonts w:ascii="Times New Roman" w:hAnsi="Times New Roman"/>
          <w:sz w:val="20"/>
        </w:rPr>
      </w:pPr>
      <w:r>
        <w:rPr>
          <w:rFonts w:ascii="Times New Roman" w:hAnsi="Times New Roman"/>
          <w:sz w:val="20"/>
        </w:rPr>
        <w:t xml:space="preserve">Numerous U.S. states have enacted comprehensive consumer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Generally, the U.S. state comprehensive consumer privacy laws exempt some data processed in the context of clinical trials, but these developments may further complicate compliance efforts, as the exercise of these rights may impact our business. Certain states also impose stricter requirements for processing certain personal data, including sensitive information, such as conducting data privacy impact assessments. These state laws allow for statutory fines for noncompliance and private actions in certain circumstances. Outside the United States, there exist data protection laws such as the European Union’s General Data Protection Regulation 2016/679 (“EU GDPR”), under which companies, have compliance obligations and in the event of non-compliance with relevant obligations, may face, among other consequences, temporary or definitive bans on data processing and other corrective actions; monetary fines; and private litigation.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May 31, 2026, we had 16 employees, all of whom were full-time and 6 of whom were engaged in research and development activities. 4 of our employees hold Ph.D. or M.D. degrees. None of our employees are represented by a labor union or covered under a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currently located in South San Francisco, California, where we signed a lease agreement for a smaller office space that expires in November 2026. We believe that our existing facilities are adequate to meet our current needs, and that suitable additional or alternative spaces will be available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legal proceedings or be subject to claims arising in the ordinary course of business.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Delaware on June 20, 2012. Effective August 1, 2022, the Company, previously named Cortexyme, Inc., changed its name to Quince Therapeutics, Inc. Our principal executive offices are located at 611 Gateway Blvd, Suite 273, South San Francisco, CA 94080, and our general telephone number is (415) 910-5717. Our website address is www.quincetx.com. The reference to our website is an inactive textual reference only and the information contained in, or that can be accessed through, our website is not incorporated herein. </w:t>
      </w:r>
    </w:p>
    <w:p>
      <w:pPr>
        <w:pStyle w:val="TextBody"/>
        <w:bidi w:val="0"/>
        <w:spacing w:before="240" w:after="0"/>
        <w:jc w:val="left"/>
        <w:rPr>
          <w:rFonts w:ascii="Times New Roman" w:hAnsi="Times New Roman"/>
          <w:sz w:val="20"/>
        </w:rPr>
      </w:pPr>
      <w:r>
        <w:rPr>
          <w:rFonts w:ascii="Times New Roman" w:hAnsi="Times New Roman"/>
          <w:sz w:val="20"/>
        </w:rPr>
        <w:t>We file Annual Reports on Form 10-K, Quarterly Reports on Form 10-Q, Current Reports on Form 8-K, and other information with the SEC. Our filings with the SEC are available free of charge on the SEC’s website at </w:t>
      </w:r>
      <w:r>
        <w:rPr>
          <w:rFonts w:ascii="Times New Roman" w:hAnsi="Times New Roman"/>
          <w:i/>
          <w:sz w:val="20"/>
        </w:rPr>
        <w:t>www.sec.gov</w:t>
      </w:r>
      <w:r>
        <w:rPr>
          <w:rFonts w:ascii="Times New Roman" w:hAnsi="Times New Roman"/>
          <w:sz w:val="20"/>
        </w:rPr>
        <w:t xml:space="preserve"> and on our website under the “Investors” tab as soon as reasonably practicable after we electronically file such material with, or furnish it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right"/>
        <w:rPr>
          <w:rFonts w:ascii="Times New Roman" w:hAnsi="Times New Roman"/>
          <w:b/>
          <w:sz w:val="20"/>
        </w:rPr>
      </w:pPr>
      <w:bookmarkStart w:id="6" w:name="d163930dex995.htm"/>
      <w:bookmarkStart w:id="7" w:name="ksd163930dex995"/>
      <w:bookmarkEnd w:id="6"/>
      <w:bookmarkEnd w:id="7"/>
      <w:r>
        <w:rPr>
          <w:rFonts w:ascii="Times New Roman" w:hAnsi="Times New Roman"/>
          <w:b/>
          <w:sz w:val="20"/>
        </w:rPr>
        <w:t xml:space="preserve">Exhibit 99.5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risks described below, as well as general economic and business risks and the other information herein.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RISK FACTORS </w:t>
      </w:r>
    </w:p>
    <w:p>
      <w:pPr>
        <w:pStyle w:val="TextBody"/>
        <w:bidi w:val="0"/>
        <w:spacing w:before="120" w:after="0"/>
        <w:jc w:val="left"/>
        <w:rPr>
          <w:rFonts w:ascii="Times New Roman" w:hAnsi="Times New Roman"/>
          <w:sz w:val="20"/>
        </w:rPr>
      </w:pPr>
      <w:r>
        <w:rPr>
          <w:rFonts w:ascii="Times New Roman" w:hAnsi="Times New Roman"/>
          <w:sz w:val="20"/>
        </w:rPr>
        <w:t xml:space="preserve">The risk factors summarized below could materially harm our business, operating results, and/or financial condition, impair our future prospects, and/or cause the price of our common stock to decline. These risks are discussed more fully below. Material risks that may affect our business, financial condition, results of operations, and trading price of our common stock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have incurred net losses since our inception, and anticipate that we will incur significant losses for the foreseeable future. We may never generate any revenue or become profitable or, if we achieve profitability, may not be able to sustain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raise additional capital when needed, we may be forced to delay, reduce or eliminate our product development programs or other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need substantial additional funding to complete the development of our product candidates. A failure to obtain this necessary capital when needed could force us to further delay, limit, reduce or terminate our product development or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losses every year since our inception. We expect to continue to incur losses over the next several years and may never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development efforts are in the early stages. If we are unable to advance our product candidates through clinical development, obtain regulatory approval and ultimately commercialize our product candidates, or experience significant delays in doing so, our business will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highly dependent on the success of LAM-001. LAM-001 will require additional clinical and manufacturing development before we may be able to seek regulatory approval for and launch a product commercially and we may not be successful in our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data from our clinical trials that we announce or publish from time to time may change as more patients are enrolled and additional data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depend on timely enrollment of patients in our clinical trials for our product candidates. If we encounter difficulties enrolling patients in our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difficult to design and implement, can be lengthy and expensive, involve uncertain outcomes and may not ultimately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to conduct the preclinical and clinical trials for our product candidates, and those third parties may not perform satisfactorily, including failing to meet deadlines for the completion of such trials or failing to comply with applicable regulatory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FDA does not conclude that LAM-001 satisfies the requirements for the Section 505(b)(2) regulatory approval pathway, or if the requirements under Section 505(b)(2) are not as we expect, the approval pathway for LAM-001 will likely take significantly longer, cost significantly more and entail significantly greater complications and risks than anticipated and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marketing and distribution capabilities for our product candidates, or enter into sales, marketing and distribution agreements with third parties, we may not be successful in commercializing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rapidly changing industry and face significant competition, which may result in others discovering, developing or commercializing products before or more successfully than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any of our product candidates receives marketing approval, it may fail to achieve the degree of market acceptance by physicians, patients, third-party payors and others in the medical community necessary for commercial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product candidates will depend on several factors, including obtaining and maintaining patent and trade secret protection and/or regulatory exclusivity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patent protection for our technologies and product candidates, or if the scope of the patent protection obtained is not sufficiently broad, our competitors could develop and commercialize technology and products similar or identical to ours, and our ability to successfully commercialize our technology and product candidates may be impaired.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legal proceedings alleging that we are infringing their intellectual property rights, the outcome of which would be uncertain and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guarantee that the Acquisition will increase stockholder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Acquisition and related 2026 Private Placement, we are required to recommend that our stockholders approve the conversion of all outstanding shares of our Series C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would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or perceived failure to comply with data privacy and security obligations including our experiencing security incidents could harm our business. Compliance or the actual or perceived failure to comply with such obligations could increase our costs and otherwise negatively affect our operating results and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successfully integrate the businesses of Quince and Orphai in the expected timeframe could adversely affect our results of operations, financial condition, and future results.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a history of significant losses since our inception. We may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with a limited operating history that may make it difficult to evaluate the success of our business to date and to assess the future viability of our business prospects. Our operations to date have been limited to business planning, including the Acquisition, organizing and staffing our company, raising capital, identifying potential product candidates, conducting clinical trials and preclinical studies for our development programs, entering into licensing agreements, establishing and enhancing our intellectual property portfolio, and providing general and administrative support for these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a history of significant net losses since our inception. While we generated net income of $35.9 million for the three months ended March 31, 2026, our net loss was $15.0 million for the three months ended March 31, 2026 and 2025, respectively, and $84.0 million and $56.8 million for the years ended December 31, 2025 and 2024, respectively. As of March 31, 2026 and as of December 31, 2025, we had an accumulated deficit of $424.5 million and $460.5 million, respectively. We have funded our operations to date primarily with proceeds from the sale of our equity securities and borrowings of convertible debt.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have not generated any revenue from commercial sales of our product candidates, and are devoting substantially all of our financial resources and efforts to the research and development of LAM-001.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it will take at least several years until any of our product candidates receive marketing approval and are commercialized, and we may never be successful in obtaining marketing approval and commercializing product candidates. We expect to continue to incur significant expenses and increasing operating losses for the foreseeable future. These net losses will adversely impact our stockholders’ equity and net assets and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we must succeed in developing and eventually commercializing products that generate significant revenue. Achievement will require us to be successful in a range of challenging activities, including completing preclinical studies and clinical trials of our product candidates, obtaining regulatory approval, manufacturing, marketing and selling any products for which we may obtain regulatory approval, as well as discovering and developing additional product candidates. We may never succeed in these activities and, even if we do, may never generate revenues that are significant enough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the development and commercialization of therapeutic product candidates, we are unable to accurately predict the timing or amount of expenses or when, or if, we will be able to achieve and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 and profitability could be further delayed. </w:t>
      </w:r>
    </w:p>
    <w:p>
      <w:pPr>
        <w:pStyle w:val="TextBody"/>
        <w:bidi w:val="0"/>
        <w:spacing w:before="240" w:after="0"/>
        <w:jc w:val="left"/>
        <w:rPr>
          <w:rFonts w:ascii="Times New Roman" w:hAnsi="Times New Roman"/>
          <w:sz w:val="20"/>
        </w:rPr>
      </w:pPr>
      <w:r>
        <w:rPr>
          <w:rFonts w:ascii="Times New Roman" w:hAnsi="Times New Roman"/>
          <w:sz w:val="20"/>
        </w:rPr>
        <w:t xml:space="preserve">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history may make it difficult for you to evaluate the success of our business to date and to assess our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As an organization, we have not demonstrated an ability to successfully complete clinical trials, obtain regulatory approvals, manufacture our product candidates at commercial scale or arrange for a third party to do so on our behalf, conduct sales and marketing activities necessary for successful commercialization, or obtain reimbursement in the countries of sale. We may encounter unforeseen expenses, difficulties, complications, and delays in achieving our business objectives. Our operating history makes any assessment of our future success or viability subject to significant uncertainty, particularly with respect to the Acquisition. If we do not address these risks successfully or are unable to transition at some point from a company with a research and development focus to a company capable of supporting commercial activities, then our business will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will need substantial additional funding to complete the development of our product candidates. A failure to obtain this necessary capital when needed could force us to delay, limit, reduce or terminate our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used substantial amounts of capital to fund the development of our product candidates and operations. We expect our research and development expenses to increase in connection with our ongoing activities, particularly as our product candidates enter and advance through preclinical studies and clinical trials. We will require substantial additional funding to meet our financial needs and to pursue our business objectives. We will require significant additional capital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our ongoing and planned clinical trials, preclinical studies and IND-enabling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enroll, and complete additional clinical trials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and obtain regulatory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and maintain our manufacturing capabilities or enter into third-party manufacturing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and protect our intellectual property portfolio;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our general and administrative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we obtain marketing approval for any of our product candidates, we will incur significant commercialization expenses related to marketing, sales, administration and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raise capital as and when needed would have a negative impact on our financial condition and ability to develop our product candidates. Furthermore, we cannot be certain that additional funding will be available on acceptable terms. If we are unable to raise additional capital in sufficient amounts or on terms acceptable to us, we may have to significantly delay, scale back or discontinue the development or commercialization of our product candidates or other research and development initiatives, and any of our current or future license agreements may be terminated if we are unable to meet the payment or other obligations under the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stockholders, restrict our operations or require us to relinquish rights to our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significant additional capital may be needed in the future to continue our planned operations, including conducting clinical trials, commercialization efforts, research and 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are likely to result in material dilution to our existing stockholders, and new investors could gain rights, preferences and privileges senior to the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raise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stockholders, and may cause the market price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seek additional capital due to favorable market conditions or strategic considerations even if we believe that we have sufficient funds for our current or future operating plans. If we raise additional funds through collaboration and licensing arrangements with third parties, we may have to relinquish some rights to our technologies or our product candidates on terms that are not favorable to us. Any additional capital raising efforts may divert our management from their day-to-day activities, which may adversely affect our ability to develop and commercialize our current and future product candidates, if approved. If we are unable to raise capital when needed or on attractive terms, we could be forced to further delay, reduce or altogether cease our research and development programs or future commercialization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our business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240" w:after="0"/>
        <w:jc w:val="left"/>
        <w:rPr>
          <w:rFonts w:ascii="Times New Roman" w:hAnsi="Times New Roman"/>
          <w:sz w:val="20"/>
        </w:rPr>
      </w:pPr>
      <w:r>
        <w:rPr>
          <w:rFonts w:ascii="Times New Roman" w:hAnsi="Times New Roman"/>
          <w:sz w:val="20"/>
        </w:rPr>
        <w:t xml:space="preserve">A widespread public health crisis such as a pandemic could result in significant disruption of global financial markets, reducing our ability to access capital, which could negatively affect our liquidity. In addition, a recession or market correction resulting from the effects of public health crises could materially affect our business and the value of our common stock. It may have further negative impacts, such as (a) a global or U.S. recession or other economic crisis; (b) credit and capital markets volatility (and access to these markets, including by our suppliers and customers); (c) manufacturing supply disruption due to travel restrictions or other government actions; (d) disruptions in raw material supply, our manufacturing operations, or in our distribution and supply chain; and (e) our ability to conduct planned clinical trials and commercialization activities. The ultimate impact of a public health crisis is highly uncertain. </w:t>
      </w:r>
    </w:p>
    <w:p>
      <w:pPr>
        <w:pStyle w:val="TextBody"/>
        <w:bidi w:val="0"/>
        <w:spacing w:before="240" w:after="0"/>
        <w:jc w:val="left"/>
        <w:rPr>
          <w:rFonts w:ascii="Times New Roman" w:hAnsi="Times New Roman"/>
          <w:sz w:val="20"/>
        </w:rPr>
      </w:pPr>
      <w:r>
        <w:rPr>
          <w:rFonts w:ascii="Times New Roman" w:hAnsi="Times New Roman"/>
          <w:sz w:val="20"/>
        </w:rPr>
        <w:t xml:space="preserve">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results have been in the past and may in the future be adversely affected by impairment charges from the recording of 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results have been in the past and may in the future be adversely affected by impairment charges from the recording of goodwill and intangible assets incurred in connection with acquisitions. For example, during the quarter ended June 30, 2024, we incurred a $17.1 million goodwill impairment charge in connection with the EryDel Acquisition. Further, our failure to identify or accurately assess the magnitude of necessary technology investments we assumed as a result of the EryDel Acquisition could result in unexpected litigation or regulatory exposure, unfavorable accounting charges, a loss of anticipated tax benefits or other adverse effects on our business, operating results or financial condition. We recognized a total impairment charge of $67.8 million for indefinite and finite-lived intangible assets for the three months ended March 31, 2026 related to the negative outcome of the NEAT study.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failure to maintain certain tax benefits applicable to Italian biotechnology companies may adversely affect our results of operations, our cash flows and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have benefited from certain tax advantages related to our Italian biotechnology subsidiary, including, for example, the R&amp;D tax credit, which is an Italian tax credit aimed at stimulating research and development. The R&amp;D tax credit can offset payments of certain taxes and contributions (e.g., social contributions, VAT payables, registration fees, income and withholding taxes and all other tax-related items that companies usually pay monthly). For eligible research and development activities, the tax credits were equal to 20% of the costs incurred in fiscal years 2022 and 2021, with a maximum annual amount of $4.4 million (4 million euros). In 2023 the general R&amp;D tax credit rate was decreased to 10% of the eligible expenses for certain activities, and the annual ceiling of the credit increased to $5.5 million (5 million euros). In 2023 to 2025, we generated R&amp;D tax credit under Article 31 of Decree-Law No. 73/2021, for Pharmaceutical/Vaccine R&amp;D tax credit, which has tax credits equal to 20% of cost incurred in the fiscal year and annual ceiling of the credit of $23.4 million (20 million euros). Expenses incurred for years ended December 31, 2025, 2024, and 2023 generated a total tax credit amounting to $1.9 million (1.7 million euros), $1.7 million (1.6 million euros), and $0.9 million (0.8 million euros), respectively. The Italian tax authorities may audit each research and development program in respect of which a R&amp;D tax credit has been claimed and assess whether such program qualifies in its view for the R&amp;D tax credit. The Italian tax authorities may challenge our eligibility for, or our calculation of, certain tax reductions or deductions in respect of our research and development activities. Should the Italian tax authorities be successful, the R&amp;D tax credit, may be reduced, which would have a negative impact on our results of operations and future cash flows. We believe, due to the nature of our business operations, that we will continue to be eligible to receive the R&amp;D tax credit. However, if the Italian government decides to eliminate, or to reduce the scope or the rate of, the R&amp;D tax credit, either of which it could decide to do at any time, our results of operations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development efforts are in the early stages. If we are unable to advance LAM-001 or any other product candidates through clinical development, obtain regulatory approval and ultimately commercialize our product candidates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that any clinical trials of LAM-001, or any other product candidates we may develop will be successful or will generate positive clinical data and we may not receive marketing approval from the FDA or other regulatory agencies for any such product candidate. LAM-001 is in the early stage of our development efforts, and if it, or any product candidate that we may develop, encounters safety or efficacy problems, development delays, regulatory issues or other problems, our development plans and forecasted timelines and business could be significantly harmed. We initiated a Phase 2b clinical trial of LAM-001 in PH-ILD in July 2026. Additionally, an investigator-initiated Phase 2 clinical trial of LAM-001 in BOS is being conducted, and we expect to initiate a Phase 2 clinical trial of LAM-001 in SAPH in late 2026.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development is a long, expensive and uncertain process, and delay or failure can occur at any stage of any of our clinical trials. Failure to obtain regulatory approval for our product candidates will prevent us from commercializing and marketing our product candidates. The success in the development of our product candidates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initiating, enrolling, and completing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INDs for and receipt of allowance to proceed with our clinical trials or other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preclinical studies;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positive results from our preclinical studies and clinical trials that support a demonstration of efficacy, safety, and durability of effect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approvals for commercialization of our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of our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products,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our product candidates at an acceptable cost and quality;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scientists, medical professionals and business people who can develop and commercialize our product candidates and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beyond our control, including the time needed to adequately complete clinical testing and the regulatory submission process. It is possible that none of our product candidates will ever obtain regulatory approval, even if we expend substantial time and resources seeking such approval. If we do not achieve one or more of these factors in a timely manner or at all, or any other factors impacting the successful development of biopharmaceutical products, we could experience significant delays or an inability to successfully develop our product candidates, which could materially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we are ultimately unable to obtain regulatory approval for LAM-001 or any other product candidate we may develop,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products that have gained regulatory approval. Our business is substantially dependent on our ability to obtain and maintain regulatory approval for our development products, in particular LAM-001. We cannot commercialize product candidates in the United States without first obtaining regulatory approval for the product from the FDA. Before obtaining regulatory approvals for the commercial sale of any product candidate for a particular indication, we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our product candidates, we will need to confer with the FDA and other regulatory authorities regarding the design of our clinical trials, the type and amount of clinical data necessary, the Chemistry, Manufacturing and Controls, or CMC, requirements to seek and gain approval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future product candidates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could fail to receive regulatory approval from the FDA or other comparable regulatory authorities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the design, protocol or conduct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clinical trials to meet the level of statistical significance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candidate’s clinical and other benefits outweigh its safety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insufficiency of data collected from clinical trials of our product candidates to support the submission and filing of an NDA or other submission or to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approval of the manufacturing processes, or failure to obtain such approvals with respect to our facilities or the facilities of our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our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our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us or our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approval policies or regulations that render our preclinical and clinical data insufficient for approval;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complete a clinical trial in a manner that is satisfactory to the applicable regulatory authority.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our control, including the risks related to clinical development. If we are unable to develop, receive regulatory approval for, or successfully commercialize our product candidates, or if we experience delays as a result of any of these risks or otherwise, our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FDA or a comparable regulatory authority may require more information, including additional preclinical or clinical data to support approval, including data that would require us to perform additional clinical trials or modify our manufacturing processes, controls, specifications, labeling, instructions or packaging, which may delay or prevent approval and our commercialization plans, or we may decide to abandon the development program. Further, if we change the primary or secondary endpoints in any of our clinical trials, either by our own choice or at the request of the FDA or a comparable regulatory authority, our development plans could be delayed, our costs could increase and our business could be materially harmed. If we change our manufacturing processes, we may be required to conduct additional clinical trials or other studies, which also could delay or prevent approval of our product candidates. If we were to obtain approval, regulatory authorities may approve any of our product candidates for fewer indications than we request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of our product candidates in one or more jurisdictions, or any approval contains significant limitations, we may not be able to obtain sufficient funding to continue the development of that product candidate or generate revenues attributable to that product candidate. Also, any regulatory approval of our current or future product candidates, once obtained, may be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highly dependent on the success of LAM-001. LAM-001 will require additional clinical and manufacturing development before we may be able to seek regulatory approval for and launch a product commercially and we may not be successful in our efforts.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products that are approved for commercial sale and may never be able to develop marketable products. We are devoting substantially all our resources to the development of LAM-001 across our three target indications of PH-ILD, BOS (in post-lung transplant patients) and SAPH. Our existing clinical data for LAM-001 in PH-ILD is derived from a completed, open-label Phase 2a clinical trial with a limited number of evaluable patients. In addition, an investigator-initiated double blind Phase 2 clinical trial in BOS, and a company-sponsored double blind Phase 2b trial in PH-ILD are ongoing, each with a limited number of evaluable patients. If LAM-001, across the various target indications, encounters safety or efficacy problems, development delays, regulatory issues or other problems, our development plans and forecasted timelines and business could be significantly harmed. Because substantially all of our resources are concentrated on a single product candidate, any failure or significant delay in LAM-001’s development would have a disproportionate impact on our business, financial condition and prospects, and we do not have other clinical-stage programs that could offset such a setback. </w:t>
      </w:r>
    </w:p>
    <w:p>
      <w:pPr>
        <w:pStyle w:val="TextBody"/>
        <w:bidi w:val="0"/>
        <w:spacing w:before="240" w:after="0"/>
        <w:jc w:val="left"/>
        <w:rPr>
          <w:rFonts w:ascii="Times New Roman" w:hAnsi="Times New Roman"/>
          <w:sz w:val="20"/>
        </w:rPr>
      </w:pPr>
      <w:r>
        <w:rPr>
          <w:rFonts w:ascii="Times New Roman" w:hAnsi="Times New Roman"/>
          <w:sz w:val="20"/>
        </w:rPr>
        <w:t xml:space="preserve">We cannot provide you with any assurance that we will be able to successfully advance LAM-001 or any additional product candidates through the development process in any particular target indication. Our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may not succeed in preclinical 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our product candidates obsolete or less attractive;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we develop may nevertheless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a product candidate may change during our development program so that the continued development of that product candidate is no longer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we may be forced to abandon our development efforts for a program or programs, or we may not be able to identify, discover, develop, or commercialize additional product candidates, which could have a material adverse effect on our business and could potentially cause us to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successfully develop and commercialize product candidates or collaborate with others to do so, we will not be able to obtain product revenue in future periods, which could significantly harm our financial position and adversely affect the trading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the clinical trials of any of our product candidates fail to demonstrate safety and efficacy to the satisfaction of the FDA or other comparable regulatory authorities, or do not otherwise produce favorable results, we may incur additional costs or experience delays in completing, or ultimately be unable to complete, the development and commercialization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our product candidates, we must demonstrate through lengthy, complex and expensive preclinical testing and clinical trials that our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our product candidates, even if deemed to not be drug related. </w:t>
      </w:r>
    </w:p>
    <w:p>
      <w:pPr>
        <w:pStyle w:val="TextBody"/>
        <w:bidi w:val="0"/>
        <w:spacing w:before="240" w:after="0"/>
        <w:jc w:val="left"/>
        <w:rPr>
          <w:rFonts w:ascii="Times New Roman" w:hAnsi="Times New Roman"/>
          <w:sz w:val="20"/>
        </w:rPr>
      </w:pPr>
      <w:r>
        <w:rPr>
          <w:rFonts w:ascii="Times New Roman" w:hAnsi="Times New Roman"/>
          <w:sz w:val="20"/>
        </w:rPr>
        <w:t xml:space="preserve">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We may experience numerous unforeseen events prior to, during, or as a result of, clinical trials that could delay or prevent our ability to receive marketing approval or commercialize any of our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authority may disagree as to the number, design or implementation of our clinical trials, or may not interpret the results from clinical trials as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may not authorize us or our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reach agreement on acceptable terms with prospective clinical trial sites, the terms of which can be subject to extensive negotiation and may vary significantly among different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our product candidates may produce negative or inconclusive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decide, or regulators may require us, to conduct additional preclinical studies or clinical trials or abandon our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third-party contractors may fail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our product candidates may be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authorities may fail to approve our manufacturing processes or facilities, or the facilities of our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our product candidates or other materials necessary to conduct clinical trials of our product candidates may be insufficient or inadequate;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our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our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us or our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may have undesirable side effects or other unexpected characteristics, causing us or our investigators, regulators or institutional review boards to suspend or terminate the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other comparable regulatory authorities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results of the trials are not satisfactory for the FDA or regulatory authorities in other countries or jurisdictions to approve our NDAs or other comparable applications, the commercialization of our product candidates may be significantly delayed, or we may be required to expend significant additional resources, which may not be available to us, to conduct additional trials in support of potential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difficult to design and implement, can be lengthy and expensive, involve uncertain outcomes and may not ultimately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It is impossible to predict when or if any of our current or future product candidates will prove effective and safe in humans or will receive regulatory approval. Before obtaining marketing approval from regulatory authorities for the sale of any product candidate, we must complete preclinical studies and then conduct extensive clinical trials to demonstrate the safety and efficacy of our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There is a high failure rate for serious pulmonary disorder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Negative outcomes or data integrity failures by competitors in the serious pulmonary disorder space could adversely affect our business, reputation, and the regulatory and commercial environment in which we operate. </w:t>
      </w:r>
    </w:p>
    <w:p>
      <w:pPr>
        <w:pStyle w:val="TextBody"/>
        <w:bidi w:val="0"/>
        <w:spacing w:before="120" w:after="0"/>
        <w:jc w:val="left"/>
        <w:rPr>
          <w:rFonts w:ascii="Times New Roman" w:hAnsi="Times New Roman"/>
          <w:sz w:val="20"/>
        </w:rPr>
      </w:pPr>
      <w:r>
        <w:rPr>
          <w:rFonts w:ascii="Times New Roman" w:hAnsi="Times New Roman"/>
          <w:sz w:val="20"/>
        </w:rPr>
        <w:t xml:space="preserve">The clinical and commercial success of LAM-001 may be influenced not only by our own data and results, but also by the outcomes and perceived integrity of data generated by competitors operating in the same therapeutic area. If a competitor’s product or product candidate is withdrawn from the market, subject to a safety recall, or associated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serious adverse events, whether in clinical trials or following regulatory approval, patients, physicians, payers, and the broader medical community may develop a generalized skepticism or loss of confidence in the underlying treatment modality or target mechanism. This loss of confidence could reduce patient enrollment in our clinical trials, dampen physician adoption of our products, or cause payers to impose more restrictive coverage and reimbursement policies, regardless of whether our products share the specific deficiencies identified in the competitor’s product. </w:t>
      </w:r>
    </w:p>
    <w:p>
      <w:pPr>
        <w:pStyle w:val="TextBody"/>
        <w:bidi w:val="0"/>
        <w:spacing w:before="240" w:after="0"/>
        <w:jc w:val="left"/>
        <w:rPr>
          <w:rFonts w:ascii="Times New Roman" w:hAnsi="Times New Roman"/>
          <w:sz w:val="20"/>
        </w:rPr>
      </w:pPr>
      <w:r>
        <w:rPr>
          <w:rFonts w:ascii="Times New Roman" w:hAnsi="Times New Roman"/>
          <w:sz w:val="20"/>
        </w:rPr>
        <w:t xml:space="preserve">We have no control over the research, development, manufacturing, or commercial practices of our competitors in the respiratory disease space, and we cannot predict whether their data or products will meet the standards expected by regulators, the medical community, or the public. Any of the foregoing events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have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For example, we are currently focusing the majority of our efforts on the development of LAM-001, and specifically for the clinical indications of PH-ILD, BOS and SAPH.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Our spending on current and future research and development programs and product candidates for specific indications may not yield any commercially viable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 in preclinical studies or clinical trials may not be predictive of results in future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and early clinical trials may not be predictive of the success of later clinical trials, and interim results of clinical trials are not necessarily predictive of final results. We do not know whether our candidates will be effective for the intended indications or safe in humans. Our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us to abandon clinical development of our product candidates. Further, our clinical trials to date have involved small patient populations. Because of the small sample sizes, the results of these trials may not be indicative of results of future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patients are enrolled and additional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We expect to publish from time to time interim topline or preliminary data from our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From time to time, we may also disclose interim data from our clinical trials. Interim data from clinical trials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reputation and business prospects. Further, disclosure of interim data by us or by our competitors could result in volatility in the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w:t>
      </w:r>
    </w:p>
    <w:p>
      <w:pPr>
        <w:pStyle w:val="TextBody"/>
        <w:bidi w:val="0"/>
        <w:spacing w:before="240" w:after="0"/>
        <w:jc w:val="left"/>
        <w:rPr>
          <w:rFonts w:ascii="Times New Roman" w:hAnsi="Times New Roman"/>
          <w:sz w:val="20"/>
        </w:rPr>
      </w:pPr>
      <w:r>
        <w:rPr>
          <w:rFonts w:ascii="Times New Roman" w:hAnsi="Times New Roman"/>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Since the number of patients that have been and will be dosed in our completed and ongoing clinical trials of LAM-001 is small, the results from such clinical trials may be less reliable than or may not be predictive of results achieved in larger clinical trials, which may hinder our efforts to obtain regulatory approval for LAM-001. </w:t>
      </w:r>
    </w:p>
    <w:p>
      <w:pPr>
        <w:pStyle w:val="TextBody"/>
        <w:bidi w:val="0"/>
        <w:spacing w:before="120" w:after="0"/>
        <w:jc w:val="left"/>
        <w:rPr>
          <w:rFonts w:ascii="Times New Roman" w:hAnsi="Times New Roman"/>
          <w:sz w:val="20"/>
        </w:rPr>
      </w:pPr>
      <w:r>
        <w:rPr>
          <w:rFonts w:ascii="Times New Roman" w:hAnsi="Times New Roman"/>
          <w:sz w:val="20"/>
        </w:rPr>
        <w:t xml:space="preserve">The preliminary results of clinical trials with smaller sample sizes can be disproportionately influenced by various biases associated with the conduct of small clinical trials, such as the potential failure of the smaller sample size to accurately depict the characteristics of the broader patient population, which limits the ability to generalize the results across a broader community, thus making the clinical trial results less reliable than clinical trials with a larger number of patients. Our completed Phase 1 clinical trial of LAM-001 enrolled seven patients in the initial dosing period, with only three patients continuing through an optional 84-day extension period. Our Phase 2a clinical trial in PH, PH-ILD and pulmonary sarcoidosis enrolled ten patients, of whom only six completed the full 24-week trial period. The ongoing Phase 2 clinical trial of LAM-001 in BOS has enrolled 19 patients. The small number of patients enrolled in each of these trials limits the statistical power of our results and increases the potential for any individual patient outcome to disproportionately influence our overall findings. As a result, there may be less certainty that LAM-001 would achieve a statistically significant effect in any future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Of particular note, our clinical thesis for evaluating LAM-001 as a potential treatment for SAPH is supported in part by observations from a single patient with sarcoidosis-associated pulmonary hypertension enrolled in our Phase 2a clinical trial. We intend to initiate a Phase 2 clinical trial specifically to evaluate LAM-001 as a treatment for SAPH; however, there can be no assurance that the results observed in this single patient will be replicated in a broader patient population. In addition, the ongoing Phase 2 clinical trial of LAM-001 for BOS is an investigator-sponsored trial, over which we have limited control with respect to trial conduct, protocol amendments, data access and publication decisions. We may rely in part on the results of this investigator-sponsored trial to inform our future clinical development decisions and allocation of resources for LAM-001 in BOS; however, if those results are not indicative of data that would be generated in a larger, company-sponsored clinical trial, our assumptions in support of our clinical development activities may prove to be inaccurate and the FDA or other comparable regulatory authorities may require us to conduct additional and larger clinical trials than we currently plan. </w:t>
      </w:r>
    </w:p>
    <w:p>
      <w:pPr>
        <w:pStyle w:val="TextBody"/>
        <w:bidi w:val="0"/>
        <w:spacing w:before="240" w:after="0"/>
        <w:jc w:val="left"/>
        <w:rPr>
          <w:rFonts w:ascii="Times New Roman" w:hAnsi="Times New Roman"/>
          <w:sz w:val="20"/>
        </w:rPr>
      </w:pPr>
      <w:r>
        <w:rPr>
          <w:rFonts w:ascii="Times New Roman" w:hAnsi="Times New Roman"/>
          <w:sz w:val="20"/>
        </w:rPr>
        <w:t xml:space="preserve">If we conduct any future clinical trials of LAM-001 or our other product candidates, we may not achieve a positive or statistically significant result or the same level of statistical significance, if any, that we might have anticipated based on prior results from our completed or ongoing trials. Such failure could hinder our efforts to obtain regulatory approval for LAM-001 or our other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comparisons we present regarding LAM-001’s safety and efficacy profile relative to oral rapamycin are subject to significant limitations and may not be predictive of LAM-001’s relative performance in future controlled studies. </w:t>
      </w:r>
    </w:p>
    <w:p>
      <w:pPr>
        <w:pStyle w:val="TextBody"/>
        <w:bidi w:val="0"/>
        <w:spacing w:before="120" w:after="0"/>
        <w:jc w:val="left"/>
        <w:rPr>
          <w:rFonts w:ascii="Times New Roman" w:hAnsi="Times New Roman"/>
          <w:sz w:val="20"/>
        </w:rPr>
      </w:pPr>
      <w:r>
        <w:rPr>
          <w:rFonts w:ascii="Times New Roman" w:hAnsi="Times New Roman"/>
          <w:sz w:val="20"/>
        </w:rPr>
        <w:t xml:space="preserve">Herein, and in our other public communications, we present data comparing LAM-001’s pharmacokinetics, mechanism of action and emerging clinical profile to published data of oral rapamycin. These comparisons are derived from different preclinical studies and clinical trials of both LAM-001 and oral rapamycin conducted at different times, with differences in trial design, patient populations, disease settings, dosing regimens, endpoints, sample sizes, follow-up periods, and adverse event grading criteria. No head-to-head clinical trials have been conducted comparing LAM-001 to rapamycin, and cross-trial comparisons are inherently limited and may not accurately reflect the relative safety or efficacy of the agents being compared.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Physicians, patients, investors, and regulatory authorities may draw conclusions from these cross-trial comparisons that are not supported by the underlying data, or may discount LAM-001’s potential based on the inherent limitations of such comparisons. If LAM-001’s clinical profile does not compare as favorably to oral rapamycin as our cross-trial analyses suggest, the commercial prospects and perceived differentiation of LAM-001 could be materially diminished.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timely enrollment of patients in our clinical trials for our product candidates. If we encounter difficulties enrolling patients in our clinical trials, our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our product candidates is critical to our success.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 or condition being studied;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any risks associated with our competitors’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other new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clinical trials before completion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we may not be able to control, such as pandemics, that may limit patients, principal investigators or staff or clinical sites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activating clinical trial sites, including delays related to site contracting, budgeting, institutional review board or ethics committee approvals, training or initiation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screen failure rates, including as a result of narrow eligibility criteria, required diagnostic confirmation or other protocol-specific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approved therapies, standard-of-care alternatives or other treatment options that may reduce patients’ willingness to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on patients participating in our clinical trials, including visit frequency, travel requirements, monitoring obligations, procedures, follow-up requirements or other protocol-related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specialized testing, biomarkers or diagnostic tools needed to identify or confirm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enroll a sufficiently diverse and representative patient populations across demographics, disease characteristics or geographies to support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retention, protocol adherence and timely completion of trial visits and procedures, including missed visits, noncompliance or withdrawal of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 staffing constraints, investigator turnover or limited clinical trial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number of qualified clinical investigators is limited, we expect to conduct some of our clinical trials at the same clinical trial sites that some of our competitors use, which could further reduce the number of patients who are available for our clinical trials in these clinical trial sites.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the clinical trials, which could prevent completion of these clinical trials and adversely affect our ability to advance the development of our product candidates. In addition, many of the factors that may lead to a delay in the commencement or completion of clinical trials may also ultimately lead to the denial of regulatory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projections of addressable market opportunity for LAM-001 are based on estimates and assumptions that may prove incorrect, and the actual commercial opportunity may be substantially smaller than we expect. </w:t>
      </w:r>
    </w:p>
    <w:p>
      <w:pPr>
        <w:pStyle w:val="TextBody"/>
        <w:bidi w:val="0"/>
        <w:spacing w:before="120" w:after="0"/>
        <w:jc w:val="left"/>
        <w:rPr>
          <w:rFonts w:ascii="Times New Roman" w:hAnsi="Times New Roman"/>
          <w:sz w:val="20"/>
        </w:rPr>
      </w:pPr>
      <w:r>
        <w:rPr>
          <w:rFonts w:ascii="Times New Roman" w:hAnsi="Times New Roman"/>
          <w:sz w:val="20"/>
        </w:rPr>
        <w:t xml:space="preserve">We have made internal estimates of the total addressable market for LAM-001 and other product candidates targeting the mTOR pathway, including estimates of patient populations, treatment penetration rates, and potential pricing. These estimates are based on a variety of sources, including published scientific literature, epidemiological data, market research and our own calculations and assumptions about competitive dynamics. However, these estimates are inherently uncertain and may prove to be materially incorrect. </w:t>
      </w:r>
    </w:p>
    <w:p>
      <w:pPr>
        <w:pStyle w:val="TextBody"/>
        <w:bidi w:val="0"/>
        <w:spacing w:before="240" w:after="0"/>
        <w:jc w:val="left"/>
        <w:rPr>
          <w:rFonts w:ascii="Times New Roman" w:hAnsi="Times New Roman"/>
          <w:sz w:val="20"/>
        </w:rPr>
      </w:pPr>
      <w:r>
        <w:rPr>
          <w:rFonts w:ascii="Times New Roman" w:hAnsi="Times New Roman"/>
          <w:sz w:val="20"/>
        </w:rPr>
        <w:t xml:space="preserve">The actual addressable market for LAM-001 may be smaller than we estimate for several reasons, including: the subset of patients who meet the clinical criteria likely required for treatment with LAM-001 may be smaller than what we project; physicians may not adopt LAM-001 over established therapies; payors may restrict reimbursement; LAM-001 may initially be approved only for later-line treatment settings with smaller patient populations; competing products may capture significant market share before LAM-001 reaches the market; and advances in respiratory disease therapies may further segment the patient population. If the actual market opportunity for LAM-001 is materially smaller than our estimates, we may not be able to generate sufficient revenue to justify our development investment, which could have a material adverse effect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Our clinical trials will include patients suffering from serious pulmonary disorders, mainly PH-ILD, BOS and SAPH, who are very sick and whose health is deteriorating. It is possible that some of these patients may experience side effects during our clinical trials. Further, systemic mTOR inhibitors, including approved rapalogs such as everolimus and temsirolimus, have been associated with numerous adverse events, including opportunistic infections, urinary tract infection, upper respiratory tract infection, nasopharyngitis, pneumonia, pneumocystis carinii pneumonia,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pyelonephritis, sepsis, herpes simplex infection, herpes zoster, BK virus-associated nephropathy, progressive multifocal leukoencephalopathy, latent viral infection reactivation, tuberculosis, basal cell carcinoma, squamous cell carcinoma, melanoma, lymphoma, neuroendocrine carcinoma of the skin (Merkel cell carcinoma); hypersensitivity reactions: anaphylactic/anaphylactoid reactions, hypersensitivity vasculitis; hypertension; peripheral edema; angioedema edema; fluid accumulation; ascites; pericardial effusion; tachycardia; venous thromboembolism (including pulmonary embolism, deep venous thrombosis); hemolytic uremic syndrome/thrombotic thrombocytopenic purpura/thrombotic microangiopathy HUS/TTP/TMA; interstitial lung disease (including pneumonitis, bronchiolitis obliterans organizing pneumonia, and pulmonary fibrosis); non-infectious pneumonitis; bronchial anastomotic dehiscence; increased creatinine; decline in renal function; proteinuria; nephrotic syndrome; focal segmental glomerulosclerosis; hypercholesterolemia: hypertriglyceridemia, hyperlipidemia; diabetes mellitus; increased AST/SGOT; increased ALT/SGPT; hyperglycemia; hypokalemia; anemia; leukopenia; neutropenia; thrombocytopenia; pancytopenia; arthralgia; myalgia; bone necrosis; hepatotoxicity (including fatal hepatic necrosis); hepatic artery thrombosis; lymphocele; lymphedema; posterior reversible encephalopathy syndrome; ovarian cysts; menstrual disorders (including amenorrhea, menorrhagia); azoospermia; increased lactate dehydrogenase; headache; dizziness; fever; pain; abdominal pain; constipation; diarrhea; nausea; stomatitis; acne; rash; exfoliative dermatitis; abnormal/impaired wound healing. While we believe the inhaled route of administration of LAM-001 may reduce systemic exposure relative to orally administered rapamycin, we cannot be certain that toxicity will not occur. This risk may be of particular significance in our target patient populations of patients with PH-ILD, BOS and SAPH whose underlying pulmonary conditions may make them more susceptible to mTOR-associated toxicities. If these or other adverse effects occur with unacceptable frequency or severity in our clinical trials, our ability to develop and commercialize LAM-001 could be materially impaired. Further, patients may die during our clinical trials for various reasons. The causes of death could include receiving our product candidates because the patient’s disease is too advanced or because the patient experiences medical problems that may not be related to our product candidate. Even if the patient deaths are not related to our product candidate, the deaths could affect perceptions regarding the safety of our product candidates. Patient deaths and severe side effects caused by our product candidates, or by products or product candidates of other companies that are thought to have similarities with our product candidates, could result in the delay, suspension, clinical hold or termination of our clinical trials, by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or limit their approval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create a Risk Evaluation and Mitigation Strategy, or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decide to remove such products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sued and held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prevent us from achieving or maintaining market acceptance of the particular product candidate, if approved, and could significantly harm our business,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the FDA does not conclude that LAM-001 satisfies the requirements for the Section 505(b)(2) regulatory approval pathway, or if the requirements under Section 505(b)(2) are not as we expect, the approval pathway for LAM-001 will likely take significantly longer, cost significantly more and entail significantly greater complications and risks than anticipated and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We intend to seek FDA approval of LAM-001 through the Section 505(b)(2) regulatory approval pathway. The Drug Price Competition and Patent Term Restoration Act of 1984, or the Hatch-Waxman Amendments,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allows an NDA we submit to FDA to rely in part on data in the public domain or the FDA’s prior conclusions regarding the safety and effectiveness of approved compounds, which could expedite the development program for LAM-001 by potentially decreasing the amount of clinical data that we would need to generate in order to obtain FDA approval. Specifically, we intend to rely on the FDA’s prior conclusions regarding the safety and effectiveness of sirolimus (rapamycin), as reflected in the FDA’s prior approvals of Rapamune for kidney transplant rejection prevention and lymphangioleiomyomatosis, as well as on published scientific literature regarding the use of rapamycin in pulmonary disease. An applicant seeking approval under the 505(b)(2) pathway must nonetheless submit sufficient data to support approval of its product, including data needed to establish a scientific bridge between the applicant’s product and the data or findings on which it seeks to rely, and the type and amount of additional data required depend on the nature of the proposed product and the differences between that product and the reference product or underlying data.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FDA will agree that an adequate scientific bridge has been established between LAM-001 and the approved oral formulations of rapamycin on which we intend to rely. LAM-001 is a novel inhaled dry powder formulation of rapamycin specifically designed to achieve high localized lung concentrations while minimizing systemic exposure, which has a pharmacokinetic profile that differs materially from that of approved oral rapamycin, which achieves therapeutic effect through systemic blood concentrations. The FDA’s prior conclusions regarding the safety and effectiveness of rapamycin were made in the context of its systemic administration, and the FDA may determine that those conclusions cannot be meaningfully extended to an inhaled formulation with a distinct pharmacokinetic profile without additional clinical data. The indications we are seeking also differ from the indications for which oral rapamycin is currently approved, which may further limit our ability to rely on the FDA’s prior findings and require us to generate more original clinical data than the 505(b)(2) pathway would otherwise necessitate. If the FDA does not allow us to pursue the Section 505(b)(2) regulatory pathway as anticipated, or requires us to generate data beyond what we currently plan to generate in order to establish an adequate scientific bridge, we may need to conduct additional clinical trials, provide additional data and information and meet additional standards for regulatory approval. If this were to occur, the time and financial resources required to obtain FDA approval would likely substantially increase. Moreover, inability to pursue the Section 505(b)(2) regulatory pathway could result in new competitive products reaching the market more quickly than LAM-001, which would likely materially adversely impact our competitive position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approval of a number of products by the FDA under Section 505(b)(2),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are targeting serious pulmonary disorders, which presents additional risks with respect to clinical development, regulatory approvals and commercialization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Our approach of targeting serious pulmonary disorders such as PH-ILD, BOS and SAPH presents risks related to the clinical development, regulatory approval and commercialization of our product candidates,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difficulty establishing safety and efficacy in these types of patient populations given the severe and rapidly progressing nature of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BOS and SAPH, the underlying etiologies of the diseases are incompletely understood, which may impact our ability to design adequate and well controlled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face challenges with respect to patient enrollment in our clinical trials,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small sample sizes in our clinical trials suggest that we face the risk of substantial variability in the results of our trials, and so the outcome of nonclinical testing and early clinical trials is less likely to be predictive of the success of later-stage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approval of our product candidates, if any, pricing and level of reimbursement may not be sufficient to offset costs of development, manufacturing, marketing,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difficulty selecting, validating, and/or achieving clinically meaningful endpoints that are acceptable to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difficulty in accurately diagnosing, stratifying or confirming patients with PH-ILD, BOS or SAPH which could adversely affect enrollment, clinical trial design and interpretation of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larger, longer, additional or different clinical trials than we anticipate, including studies in specific subpopulations or trials designed to address particular safety, efficacy or dosing questions;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size is a significant variable in the disease indications we are targeting.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projections of both the number of people who have these diseases, as well as the subset of people with these diseases who have the potential to benefit from treatment with product candidates we may develop, are based on estimates. These estimates have been derived from a variety of sources, including scientific literature, patient advocacy groups or market research. These estimates may prove to be incorrect and new studies may change the estimated incidence or prevalence of these diseases. The number of patients in the United States, Europe and elsewhere may turn out to be lower than expected, and patients may be more difficult to identify and access than our estimates contemplate. </w:t>
      </w:r>
    </w:p>
    <w:p>
      <w:pPr>
        <w:pStyle w:val="TextBody"/>
        <w:bidi w:val="0"/>
        <w:spacing w:before="240" w:after="0"/>
        <w:jc w:val="left"/>
        <w:rPr>
          <w:rFonts w:ascii="Times New Roman" w:hAnsi="Times New Roman"/>
          <w:sz w:val="20"/>
        </w:rPr>
      </w:pPr>
      <w:r>
        <w:rPr>
          <w:rFonts w:ascii="Times New Roman" w:hAnsi="Times New Roman"/>
          <w:sz w:val="20"/>
        </w:rPr>
        <w:t xml:space="preserve">Adverse developments with respect to any of the foregoing could result in significant changes in our business plan and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complete the necessary preclinical studies and clinical trials, the marketing approval process is expensive, time-consuming and uncertain and may prevent us or any future collaboration partners from obtaining approvals for the commercialization of any other product candidate we develop.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contract research organizations, or CROs, or regulatory consultants to assist us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obtaining approval or if we fail to obtain approval of any product candidates we may develop, the commercial prospects for those product candidates may be harmed, and our ability to generate revenues may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Medical devices necessary for the administration of LAM-001 are subject to regulatory requirements that we must satisfy as part of our NDA and any post-approval obligations. </w:t>
      </w:r>
    </w:p>
    <w:p>
      <w:pPr>
        <w:pStyle w:val="TextBody"/>
        <w:bidi w:val="0"/>
        <w:spacing w:before="120" w:after="0"/>
        <w:jc w:val="left"/>
        <w:rPr>
          <w:rFonts w:ascii="Times New Roman" w:hAnsi="Times New Roman"/>
          <w:sz w:val="20"/>
        </w:rPr>
      </w:pPr>
      <w:r>
        <w:rPr>
          <w:rFonts w:ascii="Times New Roman" w:hAnsi="Times New Roman"/>
          <w:sz w:val="20"/>
        </w:rPr>
        <w:t xml:space="preserve">LAM-001 is administered using a dry powder inhaler, which is manufactured by a third party. LAM-001, if approved, will be regulated by the FDA as a combination product, and our NDA must include data sufficient to demonstrate that the LAM-001 drug-device combination performs safely and as intended for use by our target patient populations. While the inhaler is an established device currently used to deliver multiple approved inhaled therapeutics, we must independently validate the specific drug-device combination as part of our NDA submission. Regulatory authorities may require user-factor studies as a part of our NDA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FDA will require human factors and usability testing to demonstrate that patients with PH-ILD, BOS and SAPH can safely and effectively use the inhaler to administer LAM-001. If human factors testing reveals usability deficiencies, we may be required to modify the device, develop additional labeling or training tools, or conduct additional studies before the FDA will approve our NDA, any of which could delay our development timeline and increase our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any approval of LAM-001, changes to the device, whether initiated by us, the manufacturer or required by a regulatory authority, may require us to make supplemental NDA filings and to conduct additional validation studies before the modified drug-device combination may be used. Any failure to obtain timely regulatory clearance for such changes, or any quality, safety, or performance issue identified with respect to the inhaler following approval, could limit our ability to supply LAM-001 to patients and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received orphan drug designation in the United States for LAM-001 in BOS, sarcoidosis, pulmonary arterial hypertension and lymphangioleiomyomatosis and in the European Union for LAM-001 in BOS and lymphangioleiomyomatosis, and we may seek orphan drug designation in other indications or for other product candidates in the future. We may be unsuccessful, or may be unable to maintain the benefits associated with orphan drug designation, including the potential for market exclusivity, for product candidates for which we obtain orphan drug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 </w:t>
      </w:r>
    </w:p>
    <w:p>
      <w:pPr>
        <w:pStyle w:val="TextBody"/>
        <w:bidi w:val="0"/>
        <w:spacing w:before="240" w:after="0"/>
        <w:jc w:val="left"/>
        <w:rPr>
          <w:rFonts w:ascii="Times New Roman" w:hAnsi="Times New Roman"/>
          <w:sz w:val="20"/>
        </w:rPr>
      </w:pPr>
      <w:r>
        <w:rPr>
          <w:rFonts w:ascii="Times New Roman" w:hAnsi="Times New Roman"/>
          <w:sz w:val="20"/>
        </w:rPr>
        <w:t xml:space="preserve">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 Orphan medicinal product designation does not convey any advantage in, or shorten the duration of, the regulatory review and approval process. We have obtained orphan drug designation in the United States for LAM-001 for the treatment of BOS, sarcoidosis, pulmonary arterial hypertension and lymphangioleiomyomatosis. In addition, we have received orphan drug designation in the European Union for LAM-001 the treatment of BOS and lymphangioleiomyomatosis. </w:t>
      </w:r>
    </w:p>
    <w:p>
      <w:pPr>
        <w:pStyle w:val="TextBody"/>
        <w:bidi w:val="0"/>
        <w:spacing w:before="240" w:after="0"/>
        <w:jc w:val="left"/>
        <w:rPr>
          <w:rFonts w:ascii="Times New Roman" w:hAnsi="Times New Roman"/>
          <w:sz w:val="20"/>
        </w:rPr>
      </w:pPr>
      <w:r>
        <w:rPr>
          <w:rFonts w:ascii="Times New Roman" w:hAnsi="Times New Roman"/>
          <w:sz w:val="20"/>
        </w:rPr>
        <w:t xml:space="preserve">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our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and expect to continue to rely, on third parties to conduct, supervise, and monitor our preclinical studies and clinical trials. If those third parties do not perform satisfactorily, including failing to meet deadlines for the completion of such clinical trials or failing to comply with regulatory requirements, we may be unable to obtain regulatory approval for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rely on third-party CROs, academic institutions, study sites, clinical investigators and others to conduct, supervise, and monitor our preclinical studies and clinical trials. We expect to continue to rely on third parties, such as CROs, clinical data management organizations, medical institutions, and clinical investigators, to conduct our preclinical studies and clinical trials. Although we currently have or plan to enter into agreements governing the activities of these third parties,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develop LAM-001 and other current and future product candidates, or we may not obtain marketing approval for, or commercialize, LAM-001 or our other current and future product candidates in a timely manner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these agreements might terminate for a variety of reasons, including a failure to perform by the third parties. If we need to enter into alternative arrangements our product development activities could be delayed and our business, financial condition, results of operations, stock price and prospects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studies are conducted in accordance with the FDA’s Good Laboratory Practice, or GLP, regulations,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upon inspection by a given regulatory authority, such regulatory authority will determine that any of our clinical trials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the development of our product candidates. If these third parties do not successfully carry out their contractual duties, meet expected deadlines or conduct our preclinical studies or clinical trials in accordance with regulatory requirements or our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current and future product candidates; we may not be able to, or may be delayed in our efforts to, successfully commercialize current and future product candidates; or we or they may be subject to regulatory enforcement actions. As a result, our results of operations and the commercial prospects for current and future product candidates may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collaborations for our current or future product candidates or technologies. We cannot control the timing or quantity of resources that our existing or future collaborators will dedicate to research, preclinical and clinical development. Our collaborators may not perform their obligations according to our expectations or standards of quality. Our collaborators could terminate our existing agreements for a number of reasons, many of which may be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We will also rely on other third parties to store and distribute our product candidates for the clinical trials that we plan to conduct. Any performance failure on the part of our distributors could delay clinical development, marketing approval, or commercialization of current and future product candidates, which could result in additional losses and deprive us of potential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rely on CMOs for the production of LAM-001, including for the supply of rapamycin, and we expect to rely on CMOs for our other product candidates.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Because LAM-001 is an inhaled dry powder formulation of rapamycin, any disruption to the supply of rapamycin could halt our entire development program. The need to maintain a supply chain for rapamycin increases our operational complexity and our vulnerability to supply disruptions. We may not be able to secure a backup supplier on commercially reasonable terms. Any significant delay in the supply of rapamycin could considerably delay our clinical development, increase our costs, and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no plans to build our own clinical or commercial-scale manufacturing capabilities for our product candidates. Instead, we expect to rely on third parties for the manufacture of our product candidates and related raw materials for future preclinical and clinical development, as well as for commercial manufacture if any of our product candidates receive marketing approval. We have entered into arrangements with a limited number of third-party contract manufacturing organizations, or CMOs, as part of our development of our product candidates. These CMOs will provide drug substance intermediate, device, and drug product that will be subsequently, tested, released, labeled, packaged and distributed to our CROs. We may also enter into agreements with additional companies for the supply of substances for use in the development of our product candidates or any future product candidates or for the manufacture of such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or our third-party suppliers or manufacturers may encounter shortages in the raw materials or active pharmaceutical ingredient, or API, necessary to produce product candidates in the quantities needed for our clinical trials or, if any current or future product candidates we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any current or future product candidates we may develop could delay, prevent or impair our development efforts and may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facilities used by third-party manufacturers to manufacture current or future product candidates must be authorized by the FDA pursuant to inspections that will be conducted after we submit a NDA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Finding new CMOs or third-party suppliers involves additional cost and requires our management’s time and focus. In addition, there is typically a transition period when a new CMO commences work. Although we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any of our product candidates. Additionally, any changes implemented by a new CMO would require substantial investment to qualify and validate the vendor as a suitable third party manufacturer of our development or marketed products. Furthermore, we may be required to conduct comparability assessments, which may include additional human clinical studies, in conjunction with validating the new CMO(s).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we contract fails to perform its obligations, it could delay completion of clinical trials, require the conduct of bridging clinical trials or studies, require the repetition of one or more clinical trials, increase clinical trial costs, delay approval of our current and future product candidates and jeopardize our ability to commence product sales and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or approved by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 or products. In addition, in the case of CMOs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part of their manufacture of our product candidates, our CMO and third-party suppliers are expected to comply with and respect the intellectual property and proprietary rights of others. If our CMO or third-party supplier fails to acquire the proper licenses or otherwise infringes, misappropriates or otherwise violates the intellectual property or proprietary rights of others in the course of providing services to us, we may have to find alternative CMOs or third-party suppliers or defend against applicable claims, either of which could significantly impact our ability to develop, obtain regulatory approval for or commercialize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our product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our product according to our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difficulties caused by unforeseen events that may delay the availability of one or more of the necessary raw materials or delay the manufacture of any current or future product candidates for use in clinical trials or for commercial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our proprietary information, including our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second sources of supply with alternative suppliers or CMOs to supplement or supply the raw materials, drug substances, intermediates, and drug product necessary for the manufacture of our product candidates, including LAM-001. If our current third-party CMO cannot perform as agreed, we may be required to replace such manufacturer and we may be unable to replace them on a timely basis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 single supplier for the dry powder inhaler, and a limited number of suppliers for the raw materials used in our product candidates, and accordingly, any delay, shortage or interruption in the supply of the inhaler or such raw materials, or any contamination in our manufacturing process, could lead to delays in the manufacture and supply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LAM-001 is administered using a dry powder inhaler. We have entered into a supply agreement with Plastiape S.p.A. that provides us with exclusive rights with respect to the device and rapamycin for LAM-001. We currently rely on Plastiape as our sole supplier for the inhaler. If Plastiape were unable or unwilling to supply the inhaler in accordance with our supply agreement, we would need to identify and qualify an alternative device, which would require significant time, expense and regulatory effort, including potential modifications to our NDA submission and additional validation studies. Any failure by Plastiape to perform its obligations under the supply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or non-renewal of such agreement, could adversely impact our ability to manufacture and supply LAM-001 for our clinical trials or, if approved, for commercial use, and could have a material adverse effect on our business, financial condition, results of operations and prospects. We do not manufacture or control the inhaler, and any disruption to Plastiape’s ability to manufacture or support the device could temporarily affect our ability to supply LAM-001 for our clinical trials or, if approved, for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We further rely on third-parties to supply certain raw materials necessary to produce our product candidates for preclinical studies and clinical trials. For example, we rely on third-parties to supply certain reagents, which are substances used in our manufacturing processes to bring about chemical or biological reactions, and other specialty materials and equipment, some of which are manufactured or supplied by small companies with limited resources. There are a small number of suppliers for certain raw materials that we use to manufacture our product candidates. Certain of our suppliers or their sub-suppliers are international, which exposes us to additional risks including trade restrictions, tariffs, export controls, geopolitical tensions, and potential disruptions to the supply chain that are beyond our control. We work with our CMOs to purchase these materials from our suppliers who may not always have long-term supply agreements in place, which could expose us to a variety of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 Any significant delay in the supply of raw materials for our product candidates for a preclinical study or a clinical trial due to the need to replace a third-party supplier could considerably delay completion of certain preclinical studies and/or clinical trials. Moreover, if we are unable to purchase sufficient raw materials after regulatory approval for our product candidates, the commercial launch of our product candidates could be delayed, or there could be a supply shortage, each of which could impair our ability to generate revenues from their sale.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material shortage, contamination, recall or restriction on the use of substances in the manufacture of our drug candidates, or the failure of any of our key suppliers to deliver necessary components required for the manufacture of our product candidates could adversely impact or disrupt the commercial manufacture or the production of clinical material, which could materially and adversely affect our development timelines and our business, financial condition,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CROs and consultants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Regulatory Approval of our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Currently, all of our product candidates are in development, and we have not received approval to market any of our product candidates, including LAM-001 for the treatment of PH-ILD, BOS and SAPH, from regulatory authorities in any jurisdiction. It is possible that our product candidates, including any product candidates we may seek to develop in the future, will never obtain regulatory approval. Whether the results from our clinical trials will suffice to obtain approval will be a review issue and the FDA may not grant approval and may require that we conduct one or more additional controlled clinical trials to obtain approval. Additionally, even if the FDA does grant approval for one or more of our product candidates, it may be for a more narrow indication than we seek.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enroll a sufficient number of patients in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such that our clinical data are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guarantee that we will be successful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We may submit marketing applications in countries other than the United States.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FDA or a comparable foreign regulatory authority approves any of our product candidates, the manufacturing processes, labeling, packaging, distribution, storage, advertising, promotion, import, export, recordkeeping, monitoring, and reporting for our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revision to the labeling, including limitations on approved uses or the addition of additional warnings, contraindications or other safety information, including boxed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REMS, which may include distribution or use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additional post-market clinical trials to assess the safety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regulatory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could adversely affect our business, prospects and ability to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customers, healthcare professionals, and third-party payors will be subject to applicable anti-kickback, fraud and abuse and other healthcare laws and regulations, which could expose us to significant penalties, including criminal sanctions, administrative civil penalties, exclusion from government healthcare programs,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Our current and future business operations and activities may subject us to additional healthcare statutory and regulatory requirements and enforcement by the federal government and the states and foreign governments in which we conduct our business. Healthcare providers and third-party payors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that may constrain the business or financial arrangements and relationships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which we research as well as market, sell and distribute our product candidates for which we obtain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Affordable Care Act, or ACA, require certain manufacturers of drugs, devices, biologics and medical supplies that are reimbursable under Medicare, Medicaid, or the Children’s Health Insurance Program to report to the Centers for Medicare &amp; Medicaid Services, or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its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our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regulatory safe harbors available, it is possible that some of our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our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were to be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our operations, any of which could adversely affect our ability to operate our business and our results of operations.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may have a material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our current or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executive, judicial and congressional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24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the U.S. Department of Health and Human Services, or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our current or future product candidates, if we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set a price that we believe is fair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coverage and reimbursement approval for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we are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reduction in reimbursement from Medicare or other government programs may result in a similar reduction in payments from private payors, which may adversely affect our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the U.K. Bribery Act 2010, or the Bribery Act, the U.S. Foreign Corrupt Practices Act of 1977, as amended, or the FCPA, and other anti-corruption laws, as well as export control laws, import and customs laws, trade and economic sanctions laws and other laws governing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anti-corruption laws, including the Bribery Act, the FCPA, the U.S. domestic bribery statute contained in 18 U.S.C. §201, the U.S. Travel Act, and other anti-corruption laws that apply in countries where we do business. The Bribery Act, the FCPA and these other laws generally prohibit us and our employees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intermediaries from authorizing, promising, offering, or providing, directly or indirectly, improper or prohibited payments, or anything else of value, to government officials or other persons to obtain or retain business or gain some other business advantage. Under the Bribery Act, we may also be liable for failing to prevent a person associated with us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We and our commercial partners operate in a number of jurisdictions that pose a high risk of potential Bribery Act or FCPA violations, and we participate in collaborations and relationships with third parties whose corrupt or illegal activities could potentially subject us to liability under the Bribery Act, FCPA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our products in international markets or, in some cases, prevent the export of our products to some countries altogether. Furthermore, Trade Control laws prohibit the provision of certain products and services to countries, governments and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generally intend to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Commercialization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establish sales, marketing and distribution capabilities for our product candidates, or enter into sales, marketing and distribution agreements with third parties, we may not be successful in commercializing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We have never commercialized a product. To achieve commercial success for any product for which we obtain marketing approval, we will need a sales and marketing organization and establish logistics and distribution processes to commercialize and deliver our product candidates to patients and healthcare providers. We currently plan to work to build our commercialization capabilities internally over time such that we are able to commercialize any product candidate for which we may obtain regulatory approval. However, we currently have no sales, marketing or distribution capabilities and have no experience in marketing or distributing pharmaceutical products. These activities will be expensive and time-consuming and will require significant attention of our executive officers to manage. There are risks involved in establishing our own sales and marketing capabilities, as well as with entering into arrangements with third parties to perform these services. Additionally, our beliefs that our products will be commercially viable have not been tested.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or decide not to establish internal sales, marketing and distribution capabilities, we would have to pursue collaborative arrangements regarding the sales and marketing of our products. However, we may not be successful in entering into arrangements with third parties to sell, market and distribute our product candidates or may be unable to do so on terms that are favorable to us, or if we are able to do so, that they would be effective and successful in commercializing our products. Our product revenues and our profitability, if any, would likely to be lower than if we were to sell, market and distribute any product candidates that we develop ourselves. In addition, we would have limited control over such third parties, and any of them may fail to devote the necessary resources and attention to sell and market our product candidates, including LAM-001,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we do not establish sales, marketing and distribution capabilities successfully, either on our own or in collaboration with third parties, we will not be successful in commercializing our product candidates in the United States or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operate in a rapidly changing industry and face significant competition, which may result in others discovering, developing or commercializing products before or more successfully than we do.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serious pulmonary disorders, including PH-ILD.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240" w:after="0"/>
        <w:jc w:val="left"/>
        <w:rPr>
          <w:rFonts w:ascii="Times New Roman" w:hAnsi="Times New Roman"/>
          <w:sz w:val="20"/>
        </w:rPr>
      </w:pPr>
      <w:r>
        <w:rPr>
          <w:rFonts w:ascii="Times New Roman" w:hAnsi="Times New Roman"/>
          <w:sz w:val="20"/>
        </w:rPr>
        <w:t xml:space="preserve">Tyvaso, sold by United Therapeutics, Inc., and Yutrepia, sold by Liquidia Corporation, are approved drugs for the treatment of PH-ILD. We believe that LAM-001 for the treatment of PH-ILD has the potential to be used in combination with approved therapies and product candidates in development. We are aware of several product candidates in clinical development for the treatment of PH-ILD, including product candidates in development by AllRock Bio, Apollo Therapeutics, Foresee Pharmaceuticals, Gossamer Bio, Halo Biosciences, Insmed Incorporated, Liquidia Corporation, Pharmosa Biopharm, Pulmovant, Tectonic Therapeutic, and United Therapeutics Corporation. We also anticipate that we would compete with product candidates in development for BOS by Renovion, Sanofi, and Zambon. Several of these product candidates are in Phase 3 registrational trials with potential approval timelines that are ahead of our development timeline for LAM-001, including Insmed’s TPIP in a Phase 3 clinical trial for PH-ILD and Liquidia and Pharmosa’s L606 in a Phase 3 clinical trial for PH-ILD. In SAPH, we are aware of products marketed for the treatment of PAH which are frequently used off-label in SAPH patients, including drugs manufactured by Bayer, Eli Lilly, Gilead, Johnson &amp; Johnson, Liquidia, Pfizer, and United Therapeutics. We believe that LAM-001 for the treatment of SAPH has the potential to be used in combination with these therapies.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competitors with development-stage programs may obtain marketing approval from the FDA or other comparable regulatory authorities for their product candidates more rapidly than we do, and they could establish a strong market position before we are able to enter the market. In addition,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against which we may compete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ourselves, which could result in our competitors establishing a strong market position before we are able to enter the market. In addition, our ability to compete may be affected in many cases by insurers or other third-party payors seeking to encourage the use of generic products. Because of our primary focus on serious pulmonary disorders, if our product candidates achieve marketing approval, we expect to seek premium pricing.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FDA or other regulatory approval for their products more rapidly than we may obtain approval for ours, which could result in our competitors establishing a strong market position for either their product or a specific indication before we are able to enter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any of our product candidates receive marketing approval, they may fail to achieve the degree of market acceptance by physicians, patients, third-party payors and others in the medical community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Even if we obtain approvals from the FDA or other comparable regulatory agencies and are able to initiate commercialization of our product candidates or any other product candidates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our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other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 candidates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adequate reimbursement from, and our ability to negotiate pricing with,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including as compared to alternative treatments and competitive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and distribution support.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efforts to educate physicians, patients, third-party payors and others in the medical community on the benefits of our product candidates, if approved, may require significant resources and may never be successful. Because we expect sales of our product candidates, if approved, to generate substantially all of our product revenue for the foreseeable future, the failure of our product candidates to find market acceptance could harm our business and could require us to seek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Even if our product candidates, if approved,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adequate reimbursement may not be available for our current or any future product candidates, which could make it difficult for us to sell profitably, if approved. </w:t>
      </w:r>
    </w:p>
    <w:p>
      <w:pPr>
        <w:pStyle w:val="TextBody"/>
        <w:bidi w:val="0"/>
        <w:spacing w:before="120" w:after="0"/>
        <w:jc w:val="left"/>
        <w:rPr>
          <w:rFonts w:ascii="Times New Roman" w:hAnsi="Times New Roman"/>
          <w:sz w:val="20"/>
        </w:rPr>
      </w:pPr>
      <w:r>
        <w:rPr>
          <w:rFonts w:ascii="Times New Roman" w:hAnsi="Times New Roman"/>
          <w:sz w:val="20"/>
        </w:rPr>
        <w:t xml:space="preserve">Market acceptance and sales of any product candidates, if approved, that we commercialize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we develop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us to establish or maintain pricing sufficient to realize a sufficient return on our investment will be approved. Third-party payors are increasingly challenging the price, examining the medical necessity and reviewing the cost-effectiveness of medical products, therapies and services, in addition to questioning their safety and efficacy. We may incur significant costs to conduct expensive pharmaco-economic studies in order to demonstrate the medical necessity and cost-effectiveness of our product candidates, in addition to the costs required to obtain FDA approvals. Our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and providers are unlikely to prescribe our products, unless coverage is provided and reimbursement is adequate to cover a significant portion of the cost of our products and their administration. Therefore, coverage and adequate reimbursement is critical to new medical product acceptance.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we receive regulatory approval, less favorable coverage policies and reimbursement rates may be implemented in the future.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coverage and reimbursement in the United States or elsewhere will be available for any product that we may develop, and any reimbursement that may become available may be decreased or eliminated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our positioning of LAM-001 as an additional therapy may limit our pricing power and reimbursement potential, as third-party payors may view LAM-001 as an incremental addition to existing regimens and may impose step therapy, prior authorization or other access restrictions. Physicians may also be reluctant to add a new agent to complex treatment regimens in seriously ill patient populations where polypharmacy risks are heightened.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operational and financial goals may not be attainable if the market opportunities for our products are smaller than we expect. Our internal research and third-party estimates may not accurately reflect the market opportunities for LAM-001 or our other product candidates today or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total market opportunities that we believe exist are based on a variety of assumptions, calculations and estimates, including the size of the addressable patient population in applicable jurisdictions, the penetration of other drugs in these markets, the number of patients we will test in clinical trials, the price we will be able to charge for our products and the total annual number of patients with PH-ILD, BOS or SAPH. In addition, we have relied on third-party publications, research, surveys and studies for information related to determining market opportunities, including without limitation, information on the number of respiratory disease patients and those receiving various forms of treatment, the cost of drug therapy, the amount of revenue generated from various types of drug therapy, the number of deaths caused by PH-ILD, BOS or SAPH, and the expected growth in related drug therapy and diagnostic markets. Our internal research and estimates on market opportunities include the use of independent sources, but any or all of our assumptions and/or estimates may prove to be incorrect for several reasons, such as inaccurate reports or information that we have relied on, potential patients or providers not being amenable to using our products or such patients becoming difficult to identify and access, limited reimbursement for our products, pricing pressure due to availability of alternative drugs or an inability to obtain the necessary regulatory approvals for new indications. If any or all of our assumptions and estimates prove inaccurate, we may not attain our business, operational and financial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product candidates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obtain and maintain effective patent protection for our technology and product candidates, or if the scope of the patent protection obtained is not sufficiently broad, we may not be able to compete effectively in our markets </w:t>
      </w:r>
    </w:p>
    <w:p>
      <w:pPr>
        <w:pStyle w:val="TextBody"/>
        <w:bidi w:val="0"/>
        <w:spacing w:before="120" w:after="0"/>
        <w:jc w:val="left"/>
        <w:rPr>
          <w:rFonts w:ascii="Times New Roman" w:hAnsi="Times New Roman"/>
          <w:sz w:val="20"/>
        </w:rPr>
      </w:pPr>
      <w:r>
        <w:rPr>
          <w:rFonts w:ascii="Times New Roman" w:hAnsi="Times New Roman"/>
          <w:sz w:val="20"/>
        </w:rPr>
        <w:t xml:space="preserve">We rely upon a combination of patents, trade secret protection, trademarks, and confidentiality agreements to protect the intellectual property related to our product candidates and development programs. Our success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products and our ability to maintain and control the confidentiality of our trade secrets and confidential information critical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sought to protect our proprietary position by filing patent applications in the United States and abroad related to our products that are important to our business. The patent prosecution process is expensive and time-consuming, and we may not be able to file and prosecute all necessary or desirable patent applications at a reasonable cost or in a timely manner. There is no guarantee that any patent application we file will result in an issued patent having claims that protect our products; and, as a result, we may not be able to effectively prevent others from commercializing competitive products. Additionally, while the basic requirements for patentability are similar across jurisdictions, each jurisdiction has its own specific requirements for patentability. We cannot guarantee that we will obtain identical or similar patent protection covering our products in all jurisdictions where we file patent applications. If the patent applications we hold or have in-licensed with respect to our development programs and product candidates fail to issue, if their breadth or strength of protection is threatened, or if they fail to provide meaningful exclusivity for any product candidate, it could dissuade companies from collaborating with us to develop product candidates and threaten our ability to commercialize any product candidates that are approved. Any such outcome could have a materially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we own or in-license may fail to result in issued patents with claims that protect our present and future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present or future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present or future product candidates or methods of using such. Further, if we encounter delays in regulatory approvals, the period of time during which we could market a product candidate under patent protection could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patent position of biopharmaceutical companies is generally uncertain and involve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uncertain. The pending patent applications that we own or license may fail to result in issued patents with claims that cover our product candidates in the United States or in other countries for many reasons.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Moreover, we may in the future be subject to a third-party pre-issuance submission of prior art to the USPTO. We may also become involved in opposition, derivation, reexamination, inter partes review, post-grant review or interference proceedings challenging our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of the methods of use claimed in our patents. Moreover, even if competitor products are not approved for use in our patented indications, and our competitors do not actively promote their products for indications that are covered by our patents, clinicians may prescribe these competitor products “off-label.” Although off-label prescriptions may infringe or contribute to the infringement of method of use patents, such infringement is difficult to prevent or prosecute.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identify relevant patents or may incorrectly interpret the relevance, scope or expiration of a patent, which might adversely affect our ability to develop and market 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cannot guarantee that patent searches, including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candidates. We may incorrectly determine that our products are not covered by a third-party patent. Further, we may conclude that a well-informed court or other tribunal would find the claims of a relevant third-party patent to be invalid based on prior art, enablement, written description, or other ground, and that conclusion may be incorrect, which may negatively impact our ability to market our products or pipeline molecules. </w:t>
      </w:r>
    </w:p>
    <w:p>
      <w:pPr>
        <w:pStyle w:val="TextBody"/>
        <w:bidi w:val="0"/>
        <w:spacing w:before="240" w:after="0"/>
        <w:jc w:val="left"/>
        <w:rPr>
          <w:rFonts w:ascii="Times New Roman" w:hAnsi="Times New Roman"/>
          <w:sz w:val="20"/>
        </w:rPr>
      </w:pPr>
      <w:r>
        <w:rPr>
          <w:rFonts w:ascii="Times New Roman" w:hAnsi="Times New Roman"/>
          <w:sz w:val="20"/>
        </w:rPr>
        <w:t xml:space="preserve">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We may not identify all relevant patents, or incorrectly determine their expiration dates, which may negatively impact our ability to develop and market our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to identify and correctly interpret relevant patents may negatively impact our ability to develop, market and commercialize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or the patent law of other countries or jurisdictions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or PTA, for patents in families where related patents have issued without PTA. Thus, it cannot be said with certainty how PTA will/will not be viewed in future and whether patent expiration dates may be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or the UPC, for litigation involving such patents. As the UPC is a relatively new court system, there is uncertainty regarding litigation at the UPC.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It is uncertain how the UPC will impact granted European patents in the pharmaceutical industry.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or litigation alleging infringement of patents or other proprietary rights, or seeking to invalidate our patents or other proprietary rights, may delay or prevent our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are developing product candidates. As the biopharmaceutical industry expands and more patents are issued, the risk increases that our product candidates or other business activities may be subject to claims of infringement of the patent rights of third parties. Third parties may assert that we are employing their proprietary technology without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or patent applications with claims to compositions, formulations, methods of manufacture or methods for treatment related to the use or manufacture of our product candidates. Moreover, because patent applications can take many years to issue, there may be currently pending patent applications that may later result in issued patents covering our product candidates. The existence of any patent with valid and enforceable claims covering one or more of our product candidates could cause substantial delays in our ability to introduce a candidate into the U.S. market if the term of such patent extends beyond our desired product launch date. </w:t>
      </w:r>
    </w:p>
    <w:p>
      <w:pPr>
        <w:pStyle w:val="TextBody"/>
        <w:bidi w:val="0"/>
        <w:spacing w:before="240" w:after="0"/>
        <w:jc w:val="left"/>
        <w:rPr>
          <w:rFonts w:ascii="Times New Roman" w:hAnsi="Times New Roman"/>
          <w:sz w:val="20"/>
        </w:rPr>
      </w:pPr>
      <w:r>
        <w:rPr>
          <w:rFonts w:ascii="Times New Roman" w:hAnsi="Times New Roman"/>
          <w:sz w:val="20"/>
        </w:rPr>
        <w:t xml:space="preserve">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our technologies infringes upon these rights.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were held by a court of competent jurisdiction to cover aspects of our formulations, processes for manufacture or methods of use, the holders of any such patent may be able to block our ability to develop and commercialize the applicable product candidate unless we obtained a license or until such patent expires. In either case, such a license may not be available on commercially reasonable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infringement claims against us, we may become a party to other patent litigation and other proceedings, including interference, derivation or post-grant proceedings declared or granted by the USPTO and similar proceedings in foreign countries, regarding intellectual property rights with respect to our products.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cost to us of any patent litigation or other proceeding, even if resolved in our favor, could be substantial. Patent litigation and other proceedings may fail, and even if successful, may result in substantial costs and distract our management and other employees. Uncertainties resulting from the initiation and continuation of patent litigation or other proceedings could impair our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 patent landscape is crowded and highly competitive, even in the absence of litigation we may need to obtain licenses from third parties to advance our research or allow commercialization of our product candidates. We may fail to obtain any of these licenses at a reasonable cost or on reasonable terms, if at all. Even if we are able to obtain a license, it may be non-exclusive, which means that our competitors may also receive access to the same technologies licensed to us. In that event, we may face commercial competition, which could harm our business. We cannot provide any assurances that third-party patents do not exist which might be enforced against product candidates resulting in either an injunction prohibiting our sales, or, with respect to our sales, an obligation on our part to pay royalties or other forms of compensation to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license intellectual property from third parties, and such licenses may not be available or may not be available on commercially reasonable terms. </w:t>
      </w:r>
    </w:p>
    <w:p>
      <w:pPr>
        <w:pStyle w:val="TextBody"/>
        <w:bidi w:val="0"/>
        <w:spacing w:before="120" w:after="0"/>
        <w:jc w:val="left"/>
        <w:rPr>
          <w:rFonts w:ascii="Times New Roman" w:hAnsi="Times New Roman"/>
          <w:sz w:val="20"/>
        </w:rPr>
      </w:pPr>
      <w:r>
        <w:rPr>
          <w:rFonts w:ascii="Times New Roman" w:hAnsi="Times New Roman"/>
          <w:sz w:val="20"/>
        </w:rPr>
        <w:t xml:space="preserve">A third party may hold intellectual property rights, including patent rights, that are important or necessary to the development or manufacture of our product candidates. It may be necessary for us to use the patented or proprietary technology of third parties to commercialize our product candidates. In each of these cases,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develop or license intellectual property for which development was funded or otherwise assisted by, the U.S. government and/or government agencies, such as the National Institutes of Health, for development of our technology and product candidates. Failure to meet our own obligations to future licensors or upstream licensors, including such government agencies, may result in the loss of our rights to such intellectual property,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U.S. government and/or government agencies may provide funding, facilities, personnel, or other assistance in connection with the development of the intellectual property rights owned by or licensed to us. The U.S. government and/or government agencies may retain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research resulting in future in licensed patent rights and technology that was funded in part by the U.S. government could result in the government having certain rights, or march in rights, to such patent rights and technology which may permit the government to disclose our confidential information to third parties and to exercise march in rights to use or allow third parties to use our licensed technology, potentially on unfavorable terms or without adequate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our patents, the patents of our licensors or our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ours is invalid or unenforceable, in whole or in part, and that we do not have the right to stop the other party from using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invention at issue. There is also a risk that, even if the validity of such patents is upheld, the court will construe the patent’s claims narrowly and decide that we do not have the right to stop the other party from using the invention at issue on the grounds that our patent claims do not cover the invention or that the other party’s use of our patented technology falls under the safe harbor to patent infringement under 35 U.S.C. §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Even if we establish infringement, the court may decide not to grant an injunction against further infringing activity and instead award only monetary damages, which may or may not be an adequate remedy.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wrongfully used or disclosed confidential information of third parties or that our employees have wrongfully used or disclosed alleged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We employ individuals and retain independent contractors and consultants, or in the future, may employ individuals and retain independent contractors and consultants, who were previously employed at universities or other pharmaceutical companies, including our competitors or potential competitors. Although we seek to protect our ownership of intellectual property rights by ensuring that our agreements with our employees, independent contractors, consultants,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such persons’ former companies or other third parties. We may also be subject to claims that such persons or other third parties have an ownership interest in our intellectual property.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while we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asserting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in the agreements under which we license intellectual property and other rights from third parties or otherwise experience disruptions to our business relationships with our licensors, we could lose license rights with respect to certain 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certain license agreements with respect to certain of our product candidates outside of our LAM-001 clinical program pursuant to which we were granted rights to intellectual property in connection with the development, manufacture and commercialization of such product candidates. If we fail to comply with our obligations under these agreements or if we are subject to a bankruptcy, we may be required to make certain payments to the licensor of our license or the licensor may have the right to terminate the license, and in the event of termination we may not be able to develop or market products covered by the license. In the event we breach any of our obligations under these agreements, we may incur significant liability to our licensing partners. Disputes may arise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patents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license agreements do, and we expect that future license agreements will, impose various diligence, milestone payment, royalty, insurance and/or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 and could compromise our development and commercialization efforts for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of our patent filings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Any trademarks we may obtain may be infringed or successfully challenged, resulting in harm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we propose to use with our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reliance on third parties requires us to share our trade secrets, which increases the possibility that a competitor will discover them or that our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such as, our employees, consultants, board members, contractors, potential collaborators and financial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 </w:t>
      </w:r>
    </w:p>
    <w:p>
      <w:pPr>
        <w:pStyle w:val="TextBody"/>
        <w:bidi w:val="0"/>
        <w:spacing w:before="240" w:after="0"/>
        <w:jc w:val="left"/>
        <w:rPr>
          <w:rFonts w:ascii="Times New Roman" w:hAnsi="Times New Roman"/>
          <w:sz w:val="20"/>
        </w:rPr>
      </w:pPr>
      <w:r>
        <w:rPr>
          <w:rFonts w:ascii="Times New Roman" w:hAnsi="Times New Roman"/>
          <w:sz w:val="20"/>
        </w:rPr>
        <w:t xml:space="preserve">Although we require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w:t>
      </w:r>
    </w:p>
    <w:p>
      <w:pPr>
        <w:pStyle w:val="TextBody"/>
        <w:bidi w:val="0"/>
        <w:spacing w:before="240" w:after="0"/>
        <w:jc w:val="left"/>
        <w:rPr>
          <w:rFonts w:ascii="Times New Roman" w:hAnsi="Times New Roman"/>
          <w:sz w:val="20"/>
        </w:rPr>
      </w:pPr>
      <w:r>
        <w:rPr>
          <w:rFonts w:ascii="Times New Roman" w:hAnsi="Times New Roman"/>
          <w:sz w:val="20"/>
        </w:rPr>
        <w:t xml:space="preserve">Misappropriation or unauthorized disclosure of our trade secrets could impair our competitive position and may harm our business. Additionally, if the steps taken to maintain our trade secrets are deemed inadequate, we may have insufficient recourse against third parties for misappropriating any trade secret. We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which could impair our business.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defending and enforcing patents and trademarks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and we may not be able to use our trademarks in all countries or prevent others from using or registering similar trademarks.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products and our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being approved, and could provoke third parties to assert claims against us. We may not prevail in any lawsuits that we initiate and the damages or other remedies awarded, if any, may not be commercially meaningful. Governments of some foreign countries may force us to license our patents to third parties on terms that are not commercially reasonable or acceptable to us. In addition, many countries limit the enforceability of patents against government agencies or government contractors.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Times New Roman" w:hAnsi="Times New Roman"/>
          <w:sz w:val="20"/>
        </w:rPr>
      </w:pPr>
      <w:r>
        <w:rPr>
          <w:rFonts w:ascii="Times New Roman" w:hAnsi="Times New Roman"/>
          <w:sz w:val="20"/>
        </w:rPr>
        <w:t xml:space="preserve">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geopolitical actions in the United States and in other countries could increase the uncertainties and costs surrounding the prosecution or maintenance of our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other foreign patent agencies in several stages over the lifetime of the patent. We rely on our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our present and future product candidates, our competitors might be able to enter the market, which would have an adverse effect on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be required to expand our development and regulatory capabilities and potentially implement sales, marketing and distribution capabilities, and as a result, we may encounter difficulties in managing our growth, which could disrupt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our development and commercialization plans and strategies develop, and as we continue operating as a public company, we expect to need and to experience significant growth in the number of our employees and the scope of our operations, particularly in the areas of drug development, regulatory affairs and, if our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and human resources, we may not be able to effectively manage the expansion of our operations or recruit and train additional qualified personnel, as the competition for individuals in serious pulmonary disorder product development is high. Our future financial performance and our ability to commercialize our product candidates will depend, in part, on our ability to effectively manage any future growth, and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depends on our ability to retain key members of senior management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compete in the highly competitive biopharmaceutical industry depends upon our ability to attract and retain highly qualified management, research and development, clinical, financial and business development personnel. Our senior management may terminate their employment with us at any time, and we do not maintain “key person” insurance for any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resulted in a combined management team that is small relative to our development ambitions. We are heavily dependent on a limited number of individuals with specialized expertise in serious pulmonary disorders. The loss of one or more of these individuals, particularly during the critical post-Acquisition integration period, could significantly delay our clinical development programs. Competition for individuals with this specialized expertise is intense, and we may not be able to recruit suitable replacements on acceptable terms or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Following the Acquisition, certain of our employees who previously worked at a private company are now subject to public company compliance obligations, and any failure to comply with these obligations could expose us to regulatory risk and reputational harm.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Acquisition, a number of individuals who previously operated in a private company environment are now employees or officers of a publicly traded company and are subject to public company compliance obligations, including compliance with our insider trading policy, Section 16 reporting requirements under the Securities Exchange Act of 1934, Regulation FD restrictions on selective disclosure of material nonpublic information, and quiet period restrictions around SEC filings. These individuals may not have prior experience with public company compliance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onboarding and training programs to educate former Orphai employees regarding these obligations.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engage in future acquisitions or strategic collaborations, this may increase our capital requirements, dilute our stockholders, cause us to incur debt or assume contingent liabilities and subject us to other risks.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evaluate various acquisitions and strategic collaborations, including licensing or acquiring complementary products, intellectual property rights, technologies or businesses, as we may deem appropriate to carry out our business plan. Any potential acquisition or strategic collaboration may entail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additional indebtedness or contingent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including difficulties associated with integrating new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our management’s attention from our existing programs and initiatives in pursuing such a strategic partnership, merger or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our ability to maintain key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products or product candidates and regulatory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generate revenue from acquired technology sufficient to meet our objectives in undertaking the acquisition or even to offset the associated acquisition and maintenance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we undertake future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Product liability lawsuits against us could cause us to incur substantial liabilities and to limit commercialization of any products that we may develop. </w:t>
      </w:r>
    </w:p>
    <w:p>
      <w:pPr>
        <w:pStyle w:val="TextBody"/>
        <w:bidi w:val="0"/>
        <w:spacing w:before="120" w:after="0"/>
        <w:jc w:val="left"/>
        <w:rPr>
          <w:rFonts w:ascii="Times New Roman" w:hAnsi="Times New Roman"/>
          <w:sz w:val="20"/>
        </w:rPr>
      </w:pPr>
      <w:r>
        <w:rPr>
          <w:rFonts w:ascii="Times New Roman" w:hAnsi="Times New Roman"/>
          <w:sz w:val="20"/>
        </w:rPr>
        <w:t xml:space="preserve">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our management to pursue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resulting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paid to clinical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we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maintain product liability insurance with coverage in the aggregate and a per incident limit at an amount that we believe is adequate to cover estimated liabilities that we may incur. We may need to increase our insurance coverage if we re-initiate our clinical trials or if we commence commercialization of our product candidates. Insurance coverage is increasingly expensive. We may not be able to maintain insurance coverage at a reasonable cost or in an amount adequate to satisfy any liability that may arise.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Securities and our Status as a Public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of our common stock may be volatile, and you could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common stock. In addition to the factors discussed elsewhere in this “Risk Factors” section,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enrollment or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or negative results from, or delays in, testing and clinical trials by us, collaborators or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of our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actions taken by regulatory agencies with respect to our clinical trials or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developments in laws or regulations applicable to our product candidates and preclinical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and scope of health 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our relationships with collaborators, manufacturers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concerns regarding the safety of our product candidates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our competitors or the pharmaceutical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acquisitions, financing, collaborations or other corporate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acquire or in-license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our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members of our senior management and directors or our stockholders or the anticipation that such sales may occur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political, and market conditions and overall fluctuations in the financial markets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market price and volume fluctuations of comparable companies and, in particular, those that operate in the biopharmaceutical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general perception of us and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and factors, many of which are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market and industry factors may cause the market price and demand for our common stock to fluctuate substantially, regardless of our actual operating performance, which may limit or prevent investors from selling their common stock at or above the price paid for the common stock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w:t>
      </w:r>
    </w:p>
    <w:p>
      <w:pPr>
        <w:pStyle w:val="TextBody"/>
        <w:bidi w:val="0"/>
        <w:spacing w:before="240" w:after="0"/>
        <w:jc w:val="left"/>
        <w:rPr>
          <w:rFonts w:ascii="Times New Roman" w:hAnsi="Times New Roman"/>
          <w:sz w:val="20"/>
        </w:rPr>
      </w:pPr>
      <w:r>
        <w:rPr>
          <w:rFonts w:ascii="Times New Roman" w:hAnsi="Times New Roman"/>
          <w:sz w:val="20"/>
        </w:rPr>
        <w:t xml:space="preserve">Some companies that have experienced volatility in the trading price of their shares have been the subject of securities class action litigation. From time to time, we have been, and may continue to be, subject to legal proceedings and claims in the ordinary course of business. We also may decide to settle lawsuits on unfavorable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operations could be negatively affected by any securities litigation or stockholder activism, which could cause us to incur significant expense, hinder execution of business and growth strategies and impact our share price. </w:t>
      </w:r>
    </w:p>
    <w:p>
      <w:pPr>
        <w:pStyle w:val="TextBody"/>
        <w:bidi w:val="0"/>
        <w:spacing w:before="12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securities or other reasons may in the future cause us to become the target of securities litigation or stockholder activism. </w:t>
      </w:r>
    </w:p>
    <w:p>
      <w:pPr>
        <w:pStyle w:val="TextBody"/>
        <w:bidi w:val="0"/>
        <w:spacing w:before="240" w:after="0"/>
        <w:jc w:val="left"/>
        <w:rPr>
          <w:rFonts w:ascii="Times New Roman" w:hAnsi="Times New Roman"/>
          <w:sz w:val="20"/>
        </w:rPr>
      </w:pPr>
      <w:r>
        <w:rPr>
          <w:rFonts w:ascii="Times New Roman" w:hAnsi="Times New Roman"/>
          <w:sz w:val="20"/>
        </w:rPr>
        <w:t xml:space="preserve">Securities litigation and stockholder activism, including proxy contests, could result in substantial costs and divert management’s and the Board’s attention and resources from our business. The potential of a proxy contest or other stockholder activism could interfere with our ability to execute on our strategic plan, give rise to perceived uncertainties as to our future direction, result in the loss of potential business opportunities or make it more difficult to attract and retain qualified personnel, any of which could materially and adversely affect our business and operating results. Further, our share price could be subject to significant fluctuation or otherwise be adversely affected by the events, risks and uncertainties of any securities litigation and stockholder activism.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total outstanding shares may be sold into the market, which could cause the market price of our common stock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If our stockholders sell, or the market perceives that our stockholders intend to sell, substantial amounts of our shares of common stock in the public market, the market price of our common stock could decline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registration statements registering the issuance of all shares of common stock subject to options or other equity awards issued or reserved for future issuance under our equity incentive plans. Shares registered under these registration statements will be available for sale in the public market following vesting, exercise and/or settlement (as applicable) of the equity awards and, in the case of our affiliates, the restrictions of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Furthermore, certain holders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Finally, in connection with the execution of the Agreement and Plan of Merger, or the Merger Agreement, dated as of May 17, 2026, by and among the Company, Orphai Therapeutics, LLC, a Delaware limited liability company and wholly owned subsidiary of Orphai Holdings Therapeutics, Inc., a Delaware corporation, Phoenix Merger Sub I, Inc., a Delaware corporation and a wholly owned subsidiary of the Company, Phoenix Merger Sub II, LLC, a Delaware limited liability company and wholly owned subsidiary of the Company, certain of our directors and officers, as well as certain of the directors, officers and stockholders of Orphai, each as of immediately prior to the Acquisition, entered into lock-up agreements for a period ending on the earlier of (i) 12 months after the closing of the Acquisition and (ii) the issuance by us of a press release announcing (a) top line data from the ongoing LAM-001 Phase 2 trial in BOS or (b) the termination or suspension of such trial, whichever occurs first, pursuant to which each such stockholder will be subject to restrictions on the sale or transfer of shares of our common stock and Series C Preferred Stock held by each such stockholder, including those shares received by directors and officers in the Acquisition, subject to certain limited exceptions as set forth in such lock-up agreements, and provided that such restrictions will be terminated upon the termination of such party’s employment or service as a member of our board of directors. In addition, following the date that is 180 days after the closing of the Acquisition, 5% of the aggregate number of shares of common stock owned by such party at such time, and on a monthly basis thereafter, will be released from the lockup restrictions. Upon expiration of this lockup period, these shares will become eligible for sale in the public market. Pursuant to the Merger Agreement and the registration rights agreement that we entered into pursuant to the 2026 Private Placement, we are obligated to prepare and file a resale registration statement with the SEC to register the resale of shares of our common stock underlying the Series C Preferred Stock and warrant to purchase shares of Series C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use reasonable best efforts to cause this registration statement to be declared effective by the SEC. Once the registration statement is declared effective, the shares subject to the registration statement will no longer constitute restricted securities and may be sold freely in the public markets, subject to (i) the approval of the Company Stockholder Matters (as defined below), (ii) the approval of the Nasdaq Listing Application (as defined below) and (iii) any beneficial ownership limitations set by the holder of Series C Preferred Stock. Certain additional holders of our common stock have rights, subject to conditions, to require us to file registration statements covering their shares or to include their shares in Securities Act registration statements that we may file for ourselves or other stockholders. If our stockholders sell, or indicate an intention to sell, substantial amounts of our common stock in the public market after legal restrictions on resale lapse, the trading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shelf registration statement on Form S-3, or the Shelf Registration Statement, which permits us to sell from time to time up to $200.0 million of additional shares of our common stock or other securities in one or more offerings. In particular, we may offer and sell up to $75.0 million of shares of our common stock from time to time pursuant to the Controlled Equity OfferingSM Sales Agreement dated December 18, 2024, or the Sales Agreement, that we have entered into with Cantor Fitzgerald &amp; Co. and H.C. Wainwright &amp; Co., LLC. During the three months ended March 31, 2026, we utilized our ATM program to raise net proceeds of approximately $15.0 million by issuing 400,925 shares of common stock. Depending on market liquidity at the time, sales of our common stock pursuant to the Sales Agreement, or other sales of our common stock or other securities under the Shelf Registration Statement, may cause the trading price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warrants currently outstanding that will be exercisable beginning on the trading day following the earlier of our public announcement of (a) top line data from the ongoing LAM-001 trial in BOS and (b) the termination or suspension of such LAM-001 trial in BOS and through the 30th day following such public announcement to purchase shares of common stock. To the extent that these warrants are exercised, or to the extent we issue additional shares of common stock in the future, as the case may be, there will be further dilution to holders of shares of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an effective system of internal control over financial reporting, we may not be able to accurately report our financial results or prevent fraud. </w:t>
      </w:r>
    </w:p>
    <w:p>
      <w:pPr>
        <w:pStyle w:val="TextBody"/>
        <w:bidi w:val="0"/>
        <w:spacing w:before="120" w:after="0"/>
        <w:jc w:val="left"/>
        <w:rPr>
          <w:rFonts w:ascii="Times New Roman" w:hAnsi="Times New Roman"/>
          <w:sz w:val="20"/>
        </w:rPr>
      </w:pPr>
      <w:r>
        <w:rPr>
          <w:rFonts w:ascii="Times New Roman" w:hAnsi="Times New Roman"/>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stockholders may realize little or no value from the divestiture of our legacy assets, and as a result our stock price may decline, we could be subject to litigation,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sold our legacy small molecule protease inhibitor portfolio to Lighthouse, which is a newly organized, private development stage company in the start-up phase, and has only recently commenced its operations. There is currently no existing public market for the shares of Lighthouse’s common stock, and there can be no assurance that an active public market will ever develop. The absence of an active public market for these securities would make it difficult for us to sell the shares of Lighthouse’s common stock and realize any value from them. To date, Lighthouse’s operations have been primarily limited to organizing and staffing its company and completing the acquisition of our legacy assets. Accordingly, it is difficult if not impossible to predict Lighthouse’s future performance or to evaluate its business and prospects, or ability to develop our legacy assets. For these and other reasons, our stockholders may realize little or no value from the divestiture of our legacy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divestiture of our legacy assets could result in litigation against us, including litigation arising from or related to the value, received in the sale of our legacy assets to Lighthouse. For example, some of our investors purchased shares of our common stock because they were interested in the opportunities presented by our small molecule protease inhibitor portfolio, others because they were interested in our bone-targeting drug platform. Thus, certain stockholders may have attributed substantial financial value to our legacy assets or NOV004. If our stockholders believe that the financial value which is or may be received by us or them from the divestiture of our assets is inadequate, our stock price may decline and litigation may occur. As a result of these and other factors, we may be exposed to a number of risks, including declines or fluctuations in our stock price, additional legal fees, and distractions to our management caused by activities undertaken in connection with resolving any disputes related to these transactions. The occurrence of any one or more of the above could have an adverse impact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cash dividends on our common stock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pay any cash dividends on our common stock in the foreseeable future and we currently intend to retain our future earnings, if any, to fund the development and growth of our business. Therefore, you should not rely on an investment in our common stock to provide dividend income. 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common stock will be your sole source of gains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federal, state and local income and other taxes in the United States and in foreign jurisdictions because of the scope of our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Internal Revenue Service and other taxing authorities with respect to this and other legislation may affect us, and certain aspects of such legislation could be repealed or modified in future legislation or sunset in future years. In addition, it is uncertain if and to what extent various states will conform to federal law. We continue to evaluate the impact that these and other tax reforms may have on our business. To the extent that any such changes in tax laws and regulations have a negative impact on us, including as a result of related uncertainty, our business, financial condition, results of operations and cash flows may be materially and adversely impacted and we may be required to implement changes to minimize increases in our tax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to offset future taxable income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Our net operating loss, or NOL, carryforwards could expire unused and be unavailable to offset future income tax liabilities because of their limited duration or because of restrictions under U.S. tax law. U.S. federal NOLs generated in taxable years beginning before January 1, 2018 are permitted to be carried forward for only 20 taxable years under applicable U.S. federal income tax law. Under the Tax Cuts and Jobs Act of 2017, or the Tax Act, as modified by the Coronavirus Aid, Relief, and Economic Security Act, or the CARES Act, NOLs arising in taxable years beginning after December 31, 2017 may be carried forward indefinitely, but the deductibility of such NOLs generally will be limited in taxable years beginning after December 31, 2020 to 80% of current year taxable income. NOLs generated in Italy are subject to Italian tax laws and deductibility of such Italian NOLs are limited to 80% of taxable income. As of December 31, 2025, we had federal net operating loss carryforwards of approximately $253.3 million, of which $237.5 million will not expire and $15.8 million begin expiring in 2034. As of December 31, 2025, we also had state net operating loss carryforwards of approximately $34.8 million which begin to expire in 2034. Additionally, we have federal tax credits of approximately $10.4 million which begin to expire in 2036 and state tax credits of approximately $3.0 million which do not expire.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Following the approval of the Company Stockholder Matters, the Acquisition will result in an ownership change for us and, accordingly, our NOL carryforwards and certain other tax attributes will be subject to limitations (or disallowance) on their use after approval of the Company Stockholder Matters. Orphai’s NOL carryforwards may also be subject to limitations as a result of prior shifts in equity ownership and/or the Acquisition. We may also have experienced an ownership change in the past, and may experience ownership changes in the future as a result of subsequent shifts in our stock ownership, some of which are outside our control. Furthermore, our ability to utilize NOLs of Orphai we have acquired as a result of the Acquisition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and expect to continue incurring significantly increased costs as a result of operating as a company whose common stock is publicly traded, and our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have incurred significant legal, accounting and other expenses that we did not incur previously, as a private company.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we are required to furnish a report by our senior management on our internal control over financial reporting. Depending upon our filer status, we could also be required to include an attestation report on internal control over financial reporting issued by our independent registered public accounting firm as required by Section 404(b). To prepare for eventual compliance with Section 404,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documents and Delaware law could prevent a takeover that stockholders consider favorable and could also reduce the market price of our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for a classified board of directors with staggered, three-year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our board of directors to issue preferred stock with voting or other rights or preferences that could discourage a takeover attempt or delay changes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cumulative voting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vacancies on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prohibiting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persons who may call special meetings of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advance notification of stockholder nominations and proposals.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provides that the Court of Chancery of the State of Delaware is the sole and exclusive forum for substantially all disputes between us and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to the fullest extent permitted by law, the Court of Chancery of the State of Delaware shall be the sole and exclusive forum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 fiduciary duty owed by, or other wrongdoing by, any of our directors, officers, employees or agents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under the DGCL, our amended and restated certificate of incorporation, or our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While the Delaware Supreme Court recently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Acquisition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Pursuant to the terms of the Acquisition, we are required to recommend that our stockholders approve the conversion of all outstanding shares of our Series C preferred stock into shares of our common stock. We must also obtain stockholder approval of an amendment to our certificate of incorporation to increase the number of shares we are authorized to issue. We cannot guarantee that our stockholders will approve these matters, and if they fail to do so we may be required to settle such shares in cash and our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and the 2026 Private Placement purchase agreement, as promptly as practicable following the date of the Merger Agreement and pursuant to the Nasdaq Stock Market Rules, we will call and hold a meeting of our stockholders to obtain the requisite approval from our legacy stockholders for, among other things, (i) the approval, in accordance with certain of the rules of Nasdaq of the conversion of the Series C Preferred Stock into shares of our common stock, or the Conversion Proposal, (ii) the approval of the transactions contemplated by the Merger Agreement and the 2026 Private Placement in accordance with applicable Nasdaq listing rules, or the Nasdaq Proposals, (iii) the amendment of our certificate of incorporation to authorize an increase to the number of authorized shares of our common stock from 250,000,000 to up to 800,000,000 shares of common stock, or the Charter Amendment Proposal and, together with the Conversion Proposal and the Nasdaq Proposals, the Company Stockholder Matters, (iv) the approval of (A) the 2026 Equity Incentive Plan, which will provide for new awards for a number of shares of our common stock not exceeding the total of (x) 15% of our fully diluted shares of capital stock outstanding immediately after the 2026 Private Placement, plus (y) any shares covered by our outstanding awards granted under a prior equity incentive plan that, after the date the 2026 Equity Incentive Plan becomes effective, are not issued because the award expires or otherwise terminates without all of the shares covered by the award having been issued, are not issued because the award is settled in cash, are forfeited or repurchased because of the failure to vest, or are reacquired or withheld to satisfy a tax withholding obligation or the purchase or exercise price, and which will include an annual increase pursuant to an “evergreen” provision providing for an annual increase of up to 5% of the total number of our fully diluted shares of capital stock outstanding as of the day prior to such increase and (B) the 2026 Employee Stock Purchase Plan, with a total pool of shares of our common stock not exceeding 1% of our fully diluted shares of capital stock outstanding immediately after the 2026 Private Placement, and which shall include an annual increase pursuant to an “evergreen” provision providing for an annual increase of up to 1% of the total number of our fully diluted shares of capital stock outstanding as of the day prior to such increase and (v) such other changes or approvals as may be mutually agreed by us and Orphai. If we fail to receive sufficient proxies to constitute a quorum or to obtain the required vote on the Company Stockholder Matters and/or our Nasdaq Listing Application is not approved, we would be required to adjourn the meeting one or more times for up to 30 days per adjournment. If stockholder approval of the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our legacy stockholders will approve the Company Stockholder Matters. If our legacy stockholders do not approve the Charter Amendment Proposal, we would be unable to issue the additional shares of our common stock necessary to complete the conversion of Series C Preferred Stock into our common stock, and may be unable to satisfy our other capital needs, which could have a material adverse effect on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at any time after the earlier of (i) the approval of the Company Stockholder Matters or (ii) the date that is six months following the initial issuance date of the Series C Preferred Stock, we fail to deliver to the holders of the Series C Preferred Stock shares of common stock underlying such shares of Series C Preferred Stock, (other than in certain circumstances set forth in the Certificate of Designation, as defined below) the holders of the Series C Preferred Stock would be entitled to require us to settle such undelivered shares for cash in an amount equal to the fair value of such undelivered shares of Common Stock at such time, as described in the Certificate of Designation of Preferences, Rights and Limitations of the Series C Preferred Stock, or the Certificate of Designation. If we are forced to cash settle a significant amount of the shares of our common stock underlying the Series C Preferred Stock, it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approval of the Nasdaq Listing Application could materially affect our results of operations,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in order to permit the waiver of the beneficial ownership limitations applicable to the Series C Preferred Stock and take other actions following the consummation of the Acquisition, which would constitute a “change of control” under Nasdaq Listing Rule 5110(a), we are required to use our reasonable best efforts to file an initial listing application for our common stock on Nasdaq, or the Nasdaq Listing Application. The Nasdaq Listing Application must be conditionally approved prior to the date of our stockholder meeting to approve the Company Stockholder Matters. If we fail to meet the Nasdaq listing requirements and Nasdaq does not approve the Nasdaq Listing Application, we will be required to adjourn our stockholder meeting to approve the Company Stockholder Matters one or more times for up to 30 days per adjournment, continue to use our reasonable best efforts to obtain approval of the Nasdaq Listing Application and to continue soliciting stockholder approval of the Company Stockholder Matters at subsequent annual or special meetings of our stockholders, held at intervals of no more than six months, until such approval and the approval of the Company Stockholder Matters are obtained, which would be time consuming and costly. Additionally, if at any time after the earlier of (i) the approval of the Company Stockholder Matters or (ii) the date that is six months following the initial issuance date of the Series C Preferred Stock, we fail to deliver to the holders of the Series C Preferred Stock shares of common stock underlying such shares of Series C Preferred Stock, (other than in certain circumstances set forth in the Certificate of Designation) the holders of the Series C Preferred Stock would be entitled to require us to settle such undelivered shares for cash in an amount equal to the fair value of such undelivered shares of Common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the Acquisition will increase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In May 2026, we consummated the Acquisition, pursuant to which we acquired Orphai, and we closed the 2026 Private Placement. We cannot guarantee that implementing the Acquisition and related transactions will not impair stockholder value or otherwise adversely affect our business. The Acquisition poses significant integration challenges between our businesses and employees which could result in management and business disruptions, any of which could harm our results of operation, business prospects, and impair the value of the Acquisition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to successfully integrate the businesses of the Company and Orphai in the expected timeframe could adversely affect our results of operations, financial condition, and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successfully integrate the operations of the Company and Orphai will depend, in part, on our ability to realize the anticipated benefits from the Acquisition. If we are not able to achieve these objectives within the anticipated time frame, or at all, the anticipated benefits of the Acquisition may not be realized fully, or at all, or may take longer to realize than expected, and the value of our common stock may be adversely affected. In addition, the integration of the Company’s and Orphai’s respective businesses will be a time-consuming and expensive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 planning and effective and timely implementation will be critical to avoid any significant disruption to our operations. There can be no assurance that we will effectively manage the increased complexity of our business without experiencing operating inefficiencies or control deficiencies. Delays encountered in the integration process could have a material adverse effect on our expenses, operating results and financial condition, including the value of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incur substantial expenses related to the integration of Orphai.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and expect to continue to incur, substantial expenses in connection with the Acquisition and the integration of Orphai. There are a large number of processes, policies, procedures, operations, technologies and systems that must be integrated, including accounting and finance, billing, payroll, and benefits. Both the Company and Orphai have incurred significant transaction expenses in connection with the drafting and negotiation of the Merger Agreement, and the related ancillary agreements.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likely will result in our taking significant charges against earnings following the completion of the Acquisition, and the amount and timing of such charges are uncertain at present.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operations and clinical development plans and timelines, as well as the manufacturing, clinical trial and other business activities performed by us or by third parties with whom we conduct business, including our contract manufacturers, CROs, shippers, equipment suppliers and others, could be adversely affected by the effects of health epidemics.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adversely affected by health epidemics wherever we have clinical trial sites or other business operations. In addition, health epidemics could cause significant disruption in the operations of third-party manufacturers, CROs and other third parties upon whom we rely. The effects of government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If our relationships with our suppliers or other vendors are terminated or scaled back as a result of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or experience additional restrictions by their institutions, city or state, our clinical trial operations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systems or data, or those of our collaborators, contractors, consultants or other third parties with whom we work, are or were compromised, we could experience adverse consequences, including but not limited to regulatory investigations or actions; litigation; fines and penalties; significant disruption of our product development programs and our ability to operate our business effectively; reputational harm; and other adverse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ordinary course of our business, we and the third parties with whom we work,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We and the third parties with whom we work are subject to a variety of evolving threats, including but not limited to computer viruses, malicious or unintentional actions or inactions that cause vulnerabilities, malware, software or hardware failure, supply chain attacks, social engineering (including through deep fakes, which may be increasingly more difficult to identify as fake, and phishing), credential stuffing, ransomware, unauthorized access, attacks enhanced or facilitated by artificial intelligence, or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mergers)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Remote work has increased risks to our information systems and data, as personnel utilize network connections, computers and devices outside of our premises or network.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operate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in the past and may in the future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we (or a third party with whom we work) experience a security incident or are perceived to have experienced a security incident, this could result in a disruption of our development programs and our business operations, whether due to a loss of our trade secrets or other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Such an actual or perceived security incident could also cause us to experience other adverse consequences, such as: loss of, or damage to, our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our competitive position, reputational damage, and delay in the further development and commercialization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(or that of the third parties with whom we work)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us and the third parties with whom we work should we become subject to these laws. Similar laws have been passed or are being considered in several other states, as well as at the federal and local levels, and we expect more governments to pass similar laws in the future. The evolving patchwork of local,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European Economic Area (“EEA”) residents. Among other things, the EU GDPR imposes requirements regarding the security of personal data and notification of data processing obligations to the competent national data processing authorities, changes the lawful bases on which personal data can be processed, expands the definition of personal data over prior EU law and requires changes to informed consent practices, as well as more detailed notices for clinical trial subjects and investigators. The EU GDPR also provides for substantial fines for breaches and violations (up to the greater of 20 million or 4% of annual global revenue). The EU GDPR also confers a private right of action on data subjects and consumer associations to lodge complaints with supervisory authorities, seek judicial remedies and obtain compensation for damages resulting from violations of the EU GDPR. </w:t>
      </w:r>
    </w:p>
    <w:p>
      <w:pPr>
        <w:pStyle w:val="TextBody"/>
        <w:bidi w:val="0"/>
        <w:spacing w:before="240" w:after="0"/>
        <w:jc w:val="left"/>
        <w:rPr>
          <w:rFonts w:ascii="Times New Roman" w:hAnsi="Times New Roman"/>
          <w:sz w:val="20"/>
        </w:rPr>
      </w:pPr>
      <w:r>
        <w:rPr>
          <w:rFonts w:ascii="Times New Roman" w:hAnsi="Times New Roman"/>
          <w:sz w:val="20"/>
        </w:rPr>
        <w:t xml:space="preserve">We increasingly use artificial intelligence and machine learning tools across our operations and business functions, and we expect our use of such tools to expand over time. While we believe that the responsible use of AI tools can enhance our operational efficiency, these tools present risks that could adversely affect our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new laws, regulations, or guidance — including those arising from the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administration’s policy initiatives — could impose additional compliance obligations, restrict certain uses of AI tools, or increase our exposure to regulatory enforcement actions or litigation. Any failure to adequately govern our use of AI tools could result in reputational harm, regulatory scrutiny, or legal liability. In the ordinary course of business, we may transfer personal data from Europe and other jurisdictions to the United States or other countries as part of ordinary course clinical trials.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data privacy and security laws, we are and may in the future become bound by contractual obligations and industry standards related to data privacy and security, and our efforts to comply with such obligations may not be successful. We publish privacy policies and other statements regarding data privacy and security. Regulators are increasingly scrutinizing these statements, and if these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data on our behalf. In addition, these obligations may require us to change aspects of our business model or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Although we endeavor to comply with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If we (or third parties with whom we work) fail, or are perceived to have failed, to address or comply with data privacy, protection and security obligations, we could face significant consequences, including (without limitation):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we are predominantly self-insured. The occurrence of any of these business disruptions could seriously harm our operations and financial condition and increase our costs and expenses. We currently rely on third-party suppliers to produce and process our product candidates . Our ability to obtain clinical supplies of our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us, our business or our market, the price and trading volume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equity research analysts publish about us and our business. As a public company, we have only limited research coverage by equity research analysts. Equity research analysts may elect not to initiate or continue to provide research coverage of our common stock, and such lack of research coverage may adversely affect the market price of our common stock. Even if we continue to have equity research analyst coverage, we will not have any control over the analysts or the content and opinions included in their reports. The price of our common stock could decline if one or more equity research analysts downgrade our common stock or issue other unfavorable commentary or research about us. If one or more equity research analysts ceases coverage of us or fails to publish reports on us regularly, demand for our common stock could decrease, which in turn could cause the trading price or trading volume of our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TextBody"/>
        <w:bidi w:val="0"/>
        <w:spacing w:before="0" w:after="0"/>
        <w:jc w:val="right"/>
        <w:rPr>
          <w:rFonts w:ascii="Times New Roman" w:hAnsi="Times New Roman"/>
          <w:b/>
          <w:sz w:val="20"/>
        </w:rPr>
      </w:pPr>
      <w:bookmarkStart w:id="8" w:name="d163930dex996.htm"/>
      <w:bookmarkStart w:id="9" w:name="ksd163930dex996"/>
      <w:bookmarkEnd w:id="8"/>
      <w:bookmarkEnd w:id="9"/>
      <w:r>
        <w:rPr>
          <w:rFonts w:ascii="Times New Roman" w:hAnsi="Times New Roman"/>
          <w:b/>
          <w:sz w:val="20"/>
        </w:rPr>
        <w:t xml:space="preserve">Exhibit 99.6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Orphai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Financial Statements as of and for the </w:t>
      </w:r>
    </w:p>
    <w:p>
      <w:pPr>
        <w:pStyle w:val="TextBody"/>
        <w:bidi w:val="0"/>
        <w:spacing w:before="0" w:after="0"/>
        <w:jc w:val="left"/>
        <w:rPr>
          <w:rFonts w:ascii="Times New Roman" w:hAnsi="Times New Roman"/>
          <w:sz w:val="20"/>
        </w:rPr>
      </w:pPr>
      <w:r>
        <w:rPr>
          <w:rFonts w:ascii="Times New Roman" w:hAnsi="Times New Roman"/>
          <w:sz w:val="20"/>
        </w:rPr>
        <w:t xml:space="preserve">Years Ended December 31, 2025 and 2024, </w:t>
      </w:r>
    </w:p>
    <w:p>
      <w:pPr>
        <w:pStyle w:val="TextBody"/>
        <w:bidi w:val="0"/>
        <w:spacing w:before="0" w:after="0"/>
        <w:jc w:val="left"/>
        <w:rPr>
          <w:rFonts w:ascii="Times New Roman" w:hAnsi="Times New Roman"/>
          <w:sz w:val="20"/>
        </w:rPr>
      </w:pPr>
      <w:r>
        <w:rPr>
          <w:rFonts w:ascii="Times New Roman" w:hAnsi="Times New Roman"/>
          <w:sz w:val="20"/>
        </w:rPr>
        <w:t xml:space="preserve">Independent Auditor’s Report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39"/>
        <w:gridCol w:w="130"/>
        <w:gridCol w:w="536"/>
      </w:tblGrid>
      <w:tr>
        <w:trPr/>
        <w:tc>
          <w:tcPr>
            <w:tcW w:w="953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953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b/>
              </w:rPr>
            </w:pPr>
            <w:r>
              <w:rPr>
                <w:b/>
              </w:rPr>
              <w:t>Page</w:t>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1–2</w:t>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AS OF AND FOR THE YEARS ENDED DECEMBER 31, 2025 AND 2024:</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Sheets</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3</w:t>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Operations and Comprehensive Loss</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4</w:t>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Changes in Redeemable Convertible Preferred Stock and Stockholders’ Deficit</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5</w:t>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Cash Flows</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6</w:t>
            </w:r>
          </w:p>
        </w:tc>
      </w:tr>
      <w:tr>
        <w:trPr>
          <w:trHeight w:val="120" w:hRule="atLeast"/>
        </w:trPr>
        <w:tc>
          <w:tcPr>
            <w:tcW w:w="9539" w:type="dxa"/>
            <w:tcBorders/>
            <w:vAlign w:val="center"/>
          </w:tcPr>
          <w:p>
            <w:pPr>
              <w:pStyle w:val="TableContents"/>
              <w:bidi w:val="0"/>
              <w:spacing w:before="0" w:after="283"/>
              <w:jc w:val="left"/>
              <w:rPr>
                <w:sz w:val="4"/>
                <w:szCs w:val="4"/>
              </w:rPr>
            </w:pPr>
            <w:r>
              <w:rPr>
                <w:sz w:val="4"/>
                <w:szCs w:val="4"/>
              </w:rPr>
            </w:r>
          </w:p>
        </w:tc>
        <w:tc>
          <w:tcPr>
            <w:tcW w:w="666" w:type="dxa"/>
            <w:gridSpan w:val="2"/>
            <w:tcBorders/>
            <w:vAlign w:val="center"/>
          </w:tcPr>
          <w:p>
            <w:pPr>
              <w:pStyle w:val="TableContents"/>
              <w:bidi w:val="0"/>
              <w:spacing w:before="0" w:after="283"/>
              <w:jc w:val="left"/>
              <w:rPr>
                <w:sz w:val="4"/>
                <w:szCs w:val="4"/>
              </w:rPr>
            </w:pPr>
            <w:r>
              <w:rPr>
                <w:sz w:val="4"/>
                <w:szCs w:val="4"/>
              </w:rPr>
            </w:r>
          </w:p>
        </w:tc>
      </w:tr>
      <w:tr>
        <w:trPr/>
        <w:tc>
          <w:tcPr>
            <w:tcW w:w="9539" w:type="dxa"/>
            <w:tcBorders/>
          </w:tcPr>
          <w:p>
            <w:pPr>
              <w:pStyle w:val="TableContents"/>
              <w:bidi w:val="0"/>
              <w:spacing w:before="0" w:after="0"/>
              <w:jc w:val="left"/>
              <w:rPr>
                <w:rFonts w:ascii="Times New Roman" w:hAnsi="Times New Roman"/>
                <w:sz w:val="20"/>
              </w:rPr>
            </w:pPr>
            <w:r>
              <w:rPr>
                <w:rFonts w:ascii="Times New Roman" w:hAnsi="Times New Roman"/>
                <w:sz w:val="20"/>
              </w:rPr>
              <w:t>Notes to Financial Statements</w:t>
            </w:r>
          </w:p>
        </w:tc>
        <w:tc>
          <w:tcPr>
            <w:tcW w:w="130"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center"/>
              <w:rPr/>
            </w:pPr>
            <w:r>
              <w:rPr/>
              <w:t>7–26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270"/>
        <w:gridCol w:w="120"/>
        <w:gridCol w:w="2815"/>
      </w:tblGrid>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283"/>
              <w:jc w:val="left"/>
              <w:rPr/>
            </w:pPr>
            <w:r>
              <w:rPr/>
              <w:drawing>
                <wp:inline distT="0" distB="0" distL="0" distR="0">
                  <wp:extent cx="1571625"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4"/>
                          <a:stretch>
                            <a:fillRect/>
                          </a:stretch>
                        </pic:blipFill>
                        <pic:spPr bwMode="auto">
                          <a:xfrm>
                            <a:off x="0" y="0"/>
                            <a:ext cx="1571625" cy="3810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0"/>
              <w:jc w:val="left"/>
              <w:rPr>
                <w:rFonts w:ascii="Times New Roman" w:hAnsi="Times New Roman"/>
                <w:b/>
                <w:sz w:val="20"/>
              </w:rPr>
            </w:pPr>
            <w:r>
              <w:rPr>
                <w:rFonts w:ascii="Times New Roman" w:hAnsi="Times New Roman"/>
                <w:b/>
                <w:sz w:val="20"/>
              </w:rPr>
              <w:t>Deloitte &amp; Touche LLP</w:t>
            </w:r>
          </w:p>
          <w:p>
            <w:pPr>
              <w:pStyle w:val="TableContents"/>
              <w:bidi w:val="0"/>
              <w:spacing w:before="0" w:after="0"/>
              <w:jc w:val="left"/>
              <w:rPr>
                <w:rFonts w:ascii="Times New Roman" w:hAnsi="Times New Roman"/>
                <w:sz w:val="20"/>
              </w:rPr>
            </w:pPr>
            <w:r>
              <w:rPr>
                <w:rFonts w:ascii="Times New Roman" w:hAnsi="Times New Roman"/>
                <w:sz w:val="20"/>
              </w:rPr>
              <w:t>185 Asylum Street</w:t>
              <w:br/>
              <w:t>Hartford, CT 06103-3402</w:t>
              <w:br/>
              <w:t>USA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Tel: 1-860-725-3273</w:t>
            </w:r>
          </w:p>
        </w:tc>
      </w:tr>
      <w:tr>
        <w:trPr/>
        <w:tc>
          <w:tcPr>
            <w:tcW w:w="7270" w:type="dxa"/>
            <w:tcBorders/>
          </w:tcPr>
          <w:p>
            <w:pPr>
              <w:pStyle w:val="TableContents"/>
              <w:bidi w:val="0"/>
              <w:spacing w:before="0" w:after="283"/>
              <w:jc w:val="left"/>
              <w:rPr>
                <w:b/>
              </w:rPr>
            </w:pPr>
            <w:r>
              <w:rPr>
                <w:b/>
              </w:rPr>
              <w:t>INDEPENDENT AUDITOR’S REPORT</w:t>
            </w:r>
          </w:p>
        </w:tc>
        <w:tc>
          <w:tcPr>
            <w:tcW w:w="120" w:type="dxa"/>
            <w:tcBorders/>
            <w:vAlign w:val="bottom"/>
          </w:tcPr>
          <w:p>
            <w:pPr>
              <w:pStyle w:val="TableContents"/>
              <w:bidi w:val="0"/>
              <w:spacing w:before="0" w:after="283"/>
              <w:jc w:val="left"/>
              <w:rPr/>
            </w:pPr>
            <w:r>
              <w:rPr/>
              <w:t>  </w:t>
            </w:r>
          </w:p>
        </w:tc>
        <w:tc>
          <w:tcPr>
            <w:tcW w:w="2815" w:type="dxa"/>
            <w:tcBorders/>
          </w:tcPr>
          <w:p>
            <w:pPr>
              <w:pStyle w:val="TableContents"/>
              <w:bidi w:val="0"/>
              <w:spacing w:before="0" w:after="283"/>
              <w:jc w:val="left"/>
              <w:rPr/>
            </w:pPr>
            <w:r>
              <w:rPr/>
              <w:t>Fax: 1-203-905-3078</w:t>
              <w:br/>
              <w:t>www.deloitte.com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of Quince Therapeutics,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financial statements of Orphai Therapeutics, Inc. (the “Company”), which comprise the balance sheets as of December 31, 2025 and 2024, and the related statements of operations and comprehensive loss, changes in redeemable convertible preferred stock and stockholders’ deficit, and cash flows for the years then ended, and the related notes to the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incurred recurring net losses and cash flows used in operations, and on May 18, 2026, the Company was acquired by Quince Therapeutics, Inc. (the “Acquirer”) and the Acquirer of the Company may be required to make significant cash payments to holders of Series C Non-Voting Convertible Preferred Stock that could substantially reduce the Company’s available cash and cash equivalents. As a result, the Company has stated that substantial doubt exists about its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12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6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July 29,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AS OF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1"/>
        <w:gridCol w:w="141"/>
        <w:gridCol w:w="60"/>
        <w:gridCol w:w="1299"/>
        <w:gridCol w:w="155"/>
        <w:gridCol w:w="111"/>
        <w:gridCol w:w="60"/>
        <w:gridCol w:w="1299"/>
        <w:gridCol w:w="159"/>
      </w:tblGrid>
      <w:tr>
        <w:trPr/>
        <w:tc>
          <w:tcPr>
            <w:tcW w:w="692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59"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658,248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2,220,979</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15,000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143,480</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 receivable</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12,822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31,618</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330,430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269,896</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receivables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5,100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5,100</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1,021,600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2,671,073</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1,270</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1,021,600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2,672,343</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1,533,558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223,622</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449,207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673,168</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current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8,492,726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10,475,491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896,790</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noncurrent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2,462,714</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3,183,628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863,694</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rPr>
            </w:pPr>
            <w:r>
              <w:rPr>
                <w:b/>
              </w:rPr>
              <w:t>13,659,119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rPr>
            </w:pPr>
            <w:r>
              <w:rPr>
                <w:b/>
              </w:rPr>
              <w:t>4,223,198</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value—13,583,324 shares authorized as of December 31, 2025 and 2024, respectively. 10,836,011 shares issued and outstanding as of December 31, 2025 and 2024, respectively and liquidation value of $105,133,172 as of December 31, 2025 and 2024, respectively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102,006,774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102,006,774</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value—22,500,000 shares authorized as of December 31, 2025 and 2024, respectively. 397,749 shares issued and outstanding as of December 31, 2025 and 2024, respectively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398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398</w:t>
            </w:r>
          </w:p>
        </w:tc>
        <w:tc>
          <w:tcPr>
            <w:tcW w:w="159" w:type="dxa"/>
            <w:tcBorders/>
            <w:vAlign w:val="bottom"/>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12,366,487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12,161,938</w:t>
            </w:r>
          </w:p>
        </w:tc>
        <w:tc>
          <w:tcPr>
            <w:tcW w:w="159" w:type="dxa"/>
            <w:tcBorders/>
            <w:shd w:fill="CCEEFF" w:val="clear"/>
            <w:vAlign w:val="bottom"/>
          </w:tcPr>
          <w:p>
            <w:pPr>
              <w:pStyle w:val="TableContents"/>
              <w:bidi w:val="0"/>
              <w:spacing w:before="0" w:after="283"/>
              <w:jc w:val="left"/>
              <w:rPr/>
            </w:pPr>
            <w:r>
              <w:rPr/>
              <w:t> </w:t>
            </w:r>
          </w:p>
        </w:tc>
      </w:tr>
      <w:tr>
        <w:trPr/>
        <w:tc>
          <w:tcPr>
            <w:tcW w:w="692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(127,011,178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(115,719,965</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rPr>
            </w:pPr>
            <w:r>
              <w:rPr>
                <w:b/>
              </w:rPr>
              <w:t>(114,644,293</w:t>
            </w:r>
          </w:p>
        </w:tc>
        <w:tc>
          <w:tcPr>
            <w:tcW w:w="155"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b/>
              </w:rPr>
            </w:pPr>
            <w:r>
              <w:rPr>
                <w:b/>
              </w:rPr>
              <w:t>(103,557,629</w:t>
            </w:r>
          </w:p>
        </w:tc>
        <w:tc>
          <w:tcPr>
            <w:tcW w:w="159" w:type="dxa"/>
            <w:tcBorders/>
            <w:shd w:fill="CCEEFF" w:val="clear"/>
            <w:vAlign w:val="bottom"/>
          </w:tcPr>
          <w:p>
            <w:pPr>
              <w:pStyle w:val="TableContents"/>
              <w:bidi w:val="0"/>
              <w:spacing w:before="0" w:after="283"/>
              <w:jc w:val="left"/>
              <w:rPr>
                <w:b/>
              </w:rPr>
            </w:pPr>
            <w:r>
              <w:rPr>
                <w:b/>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convertible preferred stock and stockholders’ deficit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1,021,600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b/>
              </w:rPr>
            </w:pPr>
            <w:r>
              <w:rPr>
                <w:b/>
              </w:rPr>
              <w:t>2,672,343</w:t>
            </w:r>
          </w:p>
        </w:tc>
        <w:tc>
          <w:tcPr>
            <w:tcW w:w="159" w:type="dxa"/>
            <w:tcBorders/>
            <w:vAlign w:val="bottom"/>
          </w:tcPr>
          <w:p>
            <w:pPr>
              <w:pStyle w:val="TableContents"/>
              <w:bidi w:val="0"/>
              <w:spacing w:before="0" w:after="283"/>
              <w:jc w:val="left"/>
              <w:rPr/>
            </w:pPr>
            <w:r>
              <w:rPr/>
              <w:t> </w:t>
            </w:r>
          </w:p>
        </w:tc>
      </w:tr>
      <w:tr>
        <w:trPr/>
        <w:tc>
          <w:tcPr>
            <w:tcW w:w="692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147"/>
        <w:gridCol w:w="65"/>
        <w:gridCol w:w="1298"/>
        <w:gridCol w:w="155"/>
        <w:gridCol w:w="111"/>
        <w:gridCol w:w="144"/>
        <w:gridCol w:w="1251"/>
        <w:gridCol w:w="159"/>
      </w:tblGrid>
      <w:tr>
        <w:trPr/>
        <w:tc>
          <w:tcPr>
            <w:tcW w:w="687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4,003,762</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4,872,915</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2,161,623</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5,345,002</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6,165,385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251" w:type="dxa"/>
            <w:tcBorders/>
            <w:vAlign w:val="bottom"/>
          </w:tcPr>
          <w:p>
            <w:pPr>
              <w:pStyle w:val="TableContents"/>
              <w:bidi w:val="0"/>
              <w:spacing w:before="0" w:after="283"/>
              <w:jc w:val="right"/>
              <w:rPr>
                <w:b/>
              </w:rPr>
            </w:pPr>
            <w:r>
              <w:rPr>
                <w:b/>
              </w:rPr>
              <w:t>10,217,917</w:t>
            </w:r>
          </w:p>
        </w:tc>
        <w:tc>
          <w:tcPr>
            <w:tcW w:w="159"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(6,165,385</w:t>
            </w:r>
          </w:p>
        </w:tc>
        <w:tc>
          <w:tcPr>
            <w:tcW w:w="155"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51" w:type="dxa"/>
            <w:tcBorders/>
            <w:shd w:fill="CCEEFF" w:val="clear"/>
            <w:vAlign w:val="bottom"/>
          </w:tcPr>
          <w:p>
            <w:pPr>
              <w:pStyle w:val="TableContents"/>
              <w:bidi w:val="0"/>
              <w:spacing w:before="0" w:after="283"/>
              <w:jc w:val="right"/>
              <w:rPr>
                <w:b/>
              </w:rPr>
            </w:pPr>
            <w:r>
              <w:rPr>
                <w:b/>
              </w:rPr>
              <w:t>(10,217,917</w:t>
            </w:r>
          </w:p>
        </w:tc>
        <w:tc>
          <w:tcPr>
            <w:tcW w:w="159" w:type="dxa"/>
            <w:tcBorders/>
            <w:shd w:fill="CCEEFF" w:val="clear"/>
            <w:vAlign w:val="bottom"/>
          </w:tcPr>
          <w:p>
            <w:pPr>
              <w:pStyle w:val="TableContents"/>
              <w:bidi w:val="0"/>
              <w:spacing w:before="0" w:after="283"/>
              <w:jc w:val="left"/>
              <w:rPr>
                <w:b/>
              </w:rPr>
            </w:pPr>
            <w:r>
              <w:rPr>
                <w:b/>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32,192</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137,683</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notes</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(1,412,937</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(512,168</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(2,239,300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(64,241</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Loss on exchange of convertible notes</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(1,501,535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(4,248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(15,552</w:t>
            </w:r>
          </w:p>
        </w:tc>
        <w:tc>
          <w:tcPr>
            <w:tcW w:w="159"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w:t>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(5,125,828</w:t>
            </w:r>
          </w:p>
        </w:tc>
        <w:tc>
          <w:tcPr>
            <w:tcW w:w="155"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1251" w:type="dxa"/>
            <w:tcBorders/>
            <w:vAlign w:val="bottom"/>
          </w:tcPr>
          <w:p>
            <w:pPr>
              <w:pStyle w:val="TableContents"/>
              <w:bidi w:val="0"/>
              <w:spacing w:before="0" w:after="283"/>
              <w:jc w:val="right"/>
              <w:rPr>
                <w:b/>
              </w:rPr>
            </w:pPr>
            <w:r>
              <w:rPr>
                <w:b/>
              </w:rPr>
              <w:t>(454,278</w:t>
            </w:r>
          </w:p>
        </w:tc>
        <w:tc>
          <w:tcPr>
            <w:tcW w:w="159" w:type="dxa"/>
            <w:tcBorders/>
            <w:vAlign w:val="bottom"/>
          </w:tcPr>
          <w:p>
            <w:pPr>
              <w:pStyle w:val="TableContents"/>
              <w:bidi w:val="0"/>
              <w:spacing w:before="0" w:after="283"/>
              <w:jc w:val="left"/>
              <w:rPr>
                <w:b/>
              </w:rPr>
            </w:pPr>
            <w:r>
              <w:rPr>
                <w:b/>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4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(11,291,213</w:t>
            </w:r>
          </w:p>
        </w:tc>
        <w:tc>
          <w:tcPr>
            <w:tcW w:w="155"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51" w:type="dxa"/>
            <w:tcBorders/>
            <w:shd w:fill="CCEEFF" w:val="clear"/>
            <w:vAlign w:val="bottom"/>
          </w:tcPr>
          <w:p>
            <w:pPr>
              <w:pStyle w:val="TableContents"/>
              <w:bidi w:val="0"/>
              <w:spacing w:before="0" w:after="283"/>
              <w:jc w:val="right"/>
              <w:rPr>
                <w:b/>
              </w:rPr>
            </w:pPr>
            <w:r>
              <w:rPr>
                <w:b/>
              </w:rPr>
              <w:t>(10,672,195</w:t>
            </w:r>
          </w:p>
        </w:tc>
        <w:tc>
          <w:tcPr>
            <w:tcW w:w="159" w:type="dxa"/>
            <w:tcBorders/>
            <w:shd w:fill="CCEEFF" w:val="clear"/>
            <w:vAlign w:val="bottom"/>
          </w:tcPr>
          <w:p>
            <w:pPr>
              <w:pStyle w:val="TableContents"/>
              <w:bidi w:val="0"/>
              <w:spacing w:before="0" w:after="283"/>
              <w:jc w:val="left"/>
              <w:rPr>
                <w:b/>
              </w:rPr>
            </w:pPr>
            <w:r>
              <w:rPr>
                <w:b/>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STATEMENTS OF CHANGES IN REDEEMABLE CONVERTIBLE PREFERRED STOCK AND STOCKHOLDERS’ DEFICIT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2524" w:type="dxa"/>
        <w:jc w:val="center"/>
        <w:tblInd w:w="0" w:type="dxa"/>
        <w:tblLayout w:type="fixed"/>
        <w:tblCellMar>
          <w:top w:w="0" w:type="dxa"/>
          <w:left w:w="0" w:type="dxa"/>
          <w:bottom w:w="0" w:type="dxa"/>
          <w:right w:w="0" w:type="dxa"/>
        </w:tblCellMar>
      </w:tblPr>
      <w:tblGrid>
        <w:gridCol w:w="1295"/>
        <w:gridCol w:w="60"/>
        <w:gridCol w:w="60"/>
        <w:gridCol w:w="1100"/>
        <w:gridCol w:w="60"/>
        <w:gridCol w:w="60"/>
        <w:gridCol w:w="140"/>
        <w:gridCol w:w="1220"/>
        <w:gridCol w:w="155"/>
        <w:gridCol w:w="60"/>
        <w:gridCol w:w="63"/>
        <w:gridCol w:w="850"/>
        <w:gridCol w:w="63"/>
        <w:gridCol w:w="63"/>
        <w:gridCol w:w="228"/>
        <w:gridCol w:w="632"/>
        <w:gridCol w:w="60"/>
        <w:gridCol w:w="60"/>
        <w:gridCol w:w="191"/>
        <w:gridCol w:w="1509"/>
        <w:gridCol w:w="60"/>
        <w:gridCol w:w="60"/>
        <w:gridCol w:w="203"/>
        <w:gridCol w:w="1887"/>
        <w:gridCol w:w="155"/>
        <w:gridCol w:w="60"/>
        <w:gridCol w:w="196"/>
        <w:gridCol w:w="1819"/>
        <w:gridCol w:w="155"/>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 Convertible</w:t>
              <w:br/>
              <w:t>Preferred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7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 Paid-</w:t>
            </w:r>
            <w:r>
              <w:rPr/>
              <w:br/>
            </w:r>
            <w:r>
              <w:rPr>
                <w:b/>
              </w:rPr>
              <w:t>in 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9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 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7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209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January 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10,836,011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104,390,444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b/>
              </w:rPr>
            </w:pPr>
            <w:r>
              <w:rPr>
                <w:b/>
              </w:rPr>
              <w:t>390,249</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509" w:type="dxa"/>
            <w:tcBorders/>
            <w:shd w:fill="CCEEFF" w:val="clear"/>
            <w:vAlign w:val="bottom"/>
          </w:tcPr>
          <w:p>
            <w:pPr>
              <w:pStyle w:val="TableContents"/>
              <w:bidi w:val="0"/>
              <w:spacing w:before="0" w:after="283"/>
              <w:jc w:val="right"/>
              <w:rPr>
                <w:b/>
              </w:rPr>
            </w:pPr>
            <w:r>
              <w:rPr>
                <w:b/>
              </w:rPr>
              <w:t>5,946,036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887" w:type="dxa"/>
            <w:tcBorders/>
            <w:shd w:fill="CCEEFF" w:val="clear"/>
            <w:vAlign w:val="bottom"/>
          </w:tcPr>
          <w:p>
            <w:pPr>
              <w:pStyle w:val="TableContents"/>
              <w:bidi w:val="0"/>
              <w:spacing w:before="0" w:after="283"/>
              <w:jc w:val="right"/>
              <w:rPr>
                <w:b/>
              </w:rPr>
            </w:pPr>
            <w:r>
              <w:rPr>
                <w:b/>
              </w:rPr>
              <w:t>(107,431,440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b/>
              </w:rPr>
            </w:pPr>
            <w:r>
              <w:rPr>
                <w:b/>
              </w:rPr>
              <w:t>$</w:t>
            </w:r>
          </w:p>
        </w:tc>
        <w:tc>
          <w:tcPr>
            <w:tcW w:w="1819" w:type="dxa"/>
            <w:tcBorders/>
            <w:shd w:fill="CCEEFF" w:val="clear"/>
            <w:vAlign w:val="bottom"/>
          </w:tcPr>
          <w:p>
            <w:pPr>
              <w:pStyle w:val="TableContents"/>
              <w:bidi w:val="0"/>
              <w:spacing w:before="0" w:after="283"/>
              <w:jc w:val="right"/>
              <w:rPr>
                <w:b/>
              </w:rPr>
            </w:pPr>
            <w:r>
              <w:rPr>
                <w:b/>
              </w:rPr>
              <w:t>(101,485,014</w:t>
            </w:r>
          </w:p>
        </w:tc>
        <w:tc>
          <w:tcPr>
            <w:tcW w:w="155" w:type="dxa"/>
            <w:tcBorders/>
            <w:shd w:fill="CCEEFF" w:val="clear"/>
            <w:vAlign w:val="bottom"/>
          </w:tcPr>
          <w:p>
            <w:pPr>
              <w:pStyle w:val="TableContents"/>
              <w:bidi w:val="0"/>
              <w:spacing w:before="0" w:after="283"/>
              <w:jc w:val="left"/>
              <w:rPr>
                <w:b/>
              </w:rPr>
            </w:pPr>
            <w:r>
              <w:rPr>
                <w:b/>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(10,672,195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(10,672,195</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extinguishment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(2,383,670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2,383,670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2,383,670</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issued upon exercise stock 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7,500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2,992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6,212,910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6,212,910</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10,836,011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102,006,774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b/>
              </w:rPr>
            </w:pPr>
            <w:r>
              <w:rPr>
                <w:b/>
              </w:rPr>
              <w:t>397,749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632" w:type="dxa"/>
            <w:tcBorders/>
            <w:vAlign w:val="bottom"/>
          </w:tcPr>
          <w:p>
            <w:pPr>
              <w:pStyle w:val="TableContents"/>
              <w:bidi w:val="0"/>
              <w:spacing w:before="0" w:after="283"/>
              <w:jc w:val="right"/>
              <w:rPr>
                <w:b/>
              </w:rPr>
            </w:pPr>
            <w:r>
              <w:rPr>
                <w:b/>
              </w:rPr>
              <w:t>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1509" w:type="dxa"/>
            <w:tcBorders/>
            <w:vAlign w:val="bottom"/>
          </w:tcPr>
          <w:p>
            <w:pPr>
              <w:pStyle w:val="TableContents"/>
              <w:bidi w:val="0"/>
              <w:spacing w:before="0" w:after="283"/>
              <w:jc w:val="right"/>
              <w:rPr>
                <w:b/>
              </w:rPr>
            </w:pPr>
            <w:r>
              <w:rPr>
                <w:b/>
              </w:rPr>
              <w:t>12,161,938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b/>
              </w:rPr>
            </w:pPr>
            <w:r>
              <w:rPr>
                <w:b/>
              </w:rPr>
              <w:t>$</w:t>
            </w:r>
          </w:p>
        </w:tc>
        <w:tc>
          <w:tcPr>
            <w:tcW w:w="1887" w:type="dxa"/>
            <w:tcBorders/>
            <w:vAlign w:val="bottom"/>
          </w:tcPr>
          <w:p>
            <w:pPr>
              <w:pStyle w:val="TableContents"/>
              <w:bidi w:val="0"/>
              <w:spacing w:before="0" w:after="283"/>
              <w:jc w:val="right"/>
              <w:rPr>
                <w:b/>
              </w:rPr>
            </w:pPr>
            <w:r>
              <w:rPr>
                <w:b/>
              </w:rPr>
              <w:t>(115,719,965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819" w:type="dxa"/>
            <w:tcBorders/>
            <w:vAlign w:val="bottom"/>
          </w:tcPr>
          <w:p>
            <w:pPr>
              <w:pStyle w:val="TableContents"/>
              <w:bidi w:val="0"/>
              <w:spacing w:before="0" w:after="283"/>
              <w:jc w:val="right"/>
              <w:rPr>
                <w:b/>
              </w:rPr>
            </w:pPr>
            <w:r>
              <w:rPr>
                <w:b/>
              </w:rPr>
              <w:t>(103,557,629</w:t>
            </w:r>
          </w:p>
        </w:tc>
        <w:tc>
          <w:tcPr>
            <w:tcW w:w="155" w:type="dxa"/>
            <w:tcBorders/>
            <w:vAlign w:val="bottom"/>
          </w:tcPr>
          <w:p>
            <w:pPr>
              <w:pStyle w:val="TableContents"/>
              <w:bidi w:val="0"/>
              <w:spacing w:before="0" w:after="283"/>
              <w:jc w:val="left"/>
              <w:rPr>
                <w:b/>
              </w:rPr>
            </w:pPr>
            <w:r>
              <w:rPr>
                <w:b/>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8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(11,291,213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(11,291,213</w:t>
            </w:r>
          </w:p>
        </w:tc>
        <w:tc>
          <w:tcPr>
            <w:tcW w:w="155"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204,549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204,549</w:t>
            </w:r>
          </w:p>
        </w:tc>
        <w:tc>
          <w:tcPr>
            <w:tcW w:w="15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8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10,836,011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102,006,774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b/>
              </w:rPr>
            </w:pPr>
            <w:r>
              <w:rPr>
                <w:b/>
              </w:rPr>
              <w:t>397,749</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632" w:type="dxa"/>
            <w:tcBorders/>
            <w:shd w:fill="CCEEFF" w:val="clear"/>
            <w:vAlign w:val="bottom"/>
          </w:tcPr>
          <w:p>
            <w:pPr>
              <w:pStyle w:val="TableContents"/>
              <w:bidi w:val="0"/>
              <w:spacing w:before="0" w:after="283"/>
              <w:jc w:val="right"/>
              <w:rPr>
                <w:b/>
              </w:rPr>
            </w:pPr>
            <w:r>
              <w:rPr>
                <w:b/>
              </w:rPr>
              <w:t>398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509" w:type="dxa"/>
            <w:tcBorders/>
            <w:shd w:fill="CCEEFF" w:val="clear"/>
            <w:vAlign w:val="bottom"/>
          </w:tcPr>
          <w:p>
            <w:pPr>
              <w:pStyle w:val="TableContents"/>
              <w:bidi w:val="0"/>
              <w:spacing w:before="0" w:after="283"/>
              <w:jc w:val="right"/>
              <w:rPr>
                <w:b/>
              </w:rPr>
            </w:pPr>
            <w:r>
              <w:rPr>
                <w:b/>
              </w:rPr>
              <w:t>12,366,487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b/>
              </w:rPr>
            </w:pPr>
            <w:r>
              <w:rPr>
                <w:b/>
              </w:rPr>
              <w:t>$</w:t>
            </w:r>
          </w:p>
        </w:tc>
        <w:tc>
          <w:tcPr>
            <w:tcW w:w="1887" w:type="dxa"/>
            <w:tcBorders/>
            <w:shd w:fill="CCEEFF" w:val="clear"/>
            <w:vAlign w:val="bottom"/>
          </w:tcPr>
          <w:p>
            <w:pPr>
              <w:pStyle w:val="TableContents"/>
              <w:bidi w:val="0"/>
              <w:spacing w:before="0" w:after="283"/>
              <w:jc w:val="right"/>
              <w:rPr>
                <w:b/>
              </w:rPr>
            </w:pPr>
            <w:r>
              <w:rPr>
                <w:b/>
              </w:rPr>
              <w:t>(127,011,178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b/>
              </w:rPr>
            </w:pPr>
            <w:r>
              <w:rPr>
                <w:b/>
              </w:rPr>
              <w:t>$</w:t>
            </w:r>
          </w:p>
        </w:tc>
        <w:tc>
          <w:tcPr>
            <w:tcW w:w="1819" w:type="dxa"/>
            <w:tcBorders/>
            <w:shd w:fill="CCEEFF" w:val="clear"/>
            <w:vAlign w:val="bottom"/>
          </w:tcPr>
          <w:p>
            <w:pPr>
              <w:pStyle w:val="TableContents"/>
              <w:bidi w:val="0"/>
              <w:spacing w:before="0" w:after="283"/>
              <w:jc w:val="right"/>
              <w:rPr>
                <w:b/>
              </w:rPr>
            </w:pPr>
            <w:r>
              <w:rPr>
                <w:b/>
              </w:rPr>
              <w:t>(114,644,293</w:t>
            </w:r>
          </w:p>
        </w:tc>
        <w:tc>
          <w:tcPr>
            <w:tcW w:w="155" w:type="dxa"/>
            <w:tcBorders/>
            <w:shd w:fill="CCEEFF" w:val="clear"/>
            <w:vAlign w:val="bottom"/>
          </w:tcPr>
          <w:p>
            <w:pPr>
              <w:pStyle w:val="TableContents"/>
              <w:bidi w:val="0"/>
              <w:spacing w:before="0" w:after="283"/>
              <w:jc w:val="left"/>
              <w:rPr>
                <w:b/>
              </w:rPr>
            </w:pPr>
            <w:r>
              <w:rPr>
                <w:b/>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8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FOR THE YEARS ENDED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2"/>
        <w:gridCol w:w="146"/>
        <w:gridCol w:w="150"/>
        <w:gridCol w:w="1281"/>
        <w:gridCol w:w="155"/>
        <w:gridCol w:w="111"/>
        <w:gridCol w:w="150"/>
        <w:gridCol w:w="1281"/>
        <w:gridCol w:w="159"/>
      </w:tblGrid>
      <w:tr>
        <w:trP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(11,291,213</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(10,672,195</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1,270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16,118</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notes and warrants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3,652,237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576,408</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senior convertible notes for new convertible notes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1,501,534</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42,115</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204,549</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6,212,910</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128,480</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19,000</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(60,534</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(51,841</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R&amp;D tax credit receivable</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18,796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1,309,936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(206,899</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Accrued expenses </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(223,961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(2,449,657</w:t>
            </w:r>
          </w:p>
        </w:tc>
        <w:tc>
          <w:tcPr>
            <w:tcW w:w="159" w:type="dxa"/>
            <w:tcBorders/>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(4,758,906</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(6,514,041</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3,000</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notes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3,196,175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2,750,000</w:t>
            </w:r>
          </w:p>
        </w:tc>
        <w:tc>
          <w:tcPr>
            <w:tcW w:w="159" w:type="dxa"/>
            <w:tcBorders/>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3,196,175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2,753,000</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 cash and cash equivalents</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(1,562,731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(3,761,041</w:t>
            </w:r>
          </w:p>
        </w:tc>
        <w:tc>
          <w:tcPr>
            <w:tcW w:w="159" w:type="dxa"/>
            <w:tcBorders/>
            <w:vAlign w:val="bottom"/>
          </w:tcPr>
          <w:p>
            <w:pPr>
              <w:pStyle w:val="TableContents"/>
              <w:bidi w:val="0"/>
              <w:spacing w:before="0" w:after="283"/>
              <w:jc w:val="left"/>
              <w:rPr/>
            </w:pPr>
            <w:r>
              <w:rPr/>
              <w:t>) </w:t>
            </w:r>
          </w:p>
        </w:tc>
      </w:tr>
      <w:tr>
        <w:trPr/>
        <w:tc>
          <w:tcPr>
            <w:tcW w:w="67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year</w:t>
            </w:r>
          </w:p>
        </w:tc>
        <w:tc>
          <w:tcPr>
            <w:tcW w:w="14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2,220,979</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5,982,020</w:t>
            </w:r>
          </w:p>
        </w:tc>
        <w:tc>
          <w:tcPr>
            <w:tcW w:w="159" w:type="dxa"/>
            <w:tcBorders/>
            <w:shd w:fill="CCEEFF" w:val="clear"/>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7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year</w:t>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658,248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2,220,979</w:t>
            </w:r>
          </w:p>
        </w:tc>
        <w:tc>
          <w:tcPr>
            <w:tcW w:w="159" w:type="dxa"/>
            <w:tcBorders/>
            <w:vAlign w:val="bottom"/>
          </w:tcPr>
          <w:p>
            <w:pPr>
              <w:pStyle w:val="TableContents"/>
              <w:bidi w:val="0"/>
              <w:spacing w:before="0" w:after="283"/>
              <w:jc w:val="left"/>
              <w:rPr/>
            </w:pPr>
            <w:r>
              <w:rPr/>
              <w:t> </w:t>
            </w:r>
          </w:p>
        </w:tc>
      </w:tr>
      <w:tr>
        <w:trPr/>
        <w:tc>
          <w:tcPr>
            <w:tcW w:w="67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rFonts w:ascii="Times New Roman" w:hAnsi="Times New Roman"/>
          <w:b/>
          <w:sz w:val="20"/>
        </w:rPr>
      </w:pPr>
      <w:r>
        <w:rPr>
          <w:rFonts w:ascii="Times New Roman" w:hAnsi="Times New Roman"/>
          <w:b/>
          <w:sz w:val="20"/>
        </w:rPr>
        <w:t xml:space="preserve">AS OF AND FOR THE YEARS ENDED DECEMBER 31, 2025 AND 2024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Orphai Therapeutics, Inc. (the “Company”), formerly known as AI Therapeutics, Inc., and LAM Therapeutics, Inc., was incorporated as a Delaware corporation on March 4, 2013. The Company is a clinical-stage biopharmaceutical company developing a novel disease modifying therapeutic to address the significant unmet medical need associated with pulmonary disorders with few, if any, treatment options available. The Company is currently developing LAM-001 for the treatment of pulmonary hypertension associated with interstitial lung disease (PH-ILD), bronchiolitis obliterans syndrome (BOS), and sarcoidosis associated pulmonary hypertension (SAPH). </w:t>
      </w:r>
    </w:p>
    <w:p>
      <w:pPr>
        <w:pStyle w:val="TextBody"/>
        <w:bidi w:val="0"/>
        <w:spacing w:before="120" w:after="0"/>
        <w:jc w:val="left"/>
        <w:rPr>
          <w:rFonts w:ascii="Times New Roman" w:hAnsi="Times New Roman"/>
          <w:sz w:val="20"/>
        </w:rPr>
      </w:pPr>
      <w:r>
        <w:rPr>
          <w:rFonts w:ascii="Times New Roman" w:hAnsi="Times New Roman"/>
          <w:b/>
          <w:sz w:val="20"/>
        </w:rPr>
        <w:t>Liquidity and Going Concern</w:t>
      </w:r>
      <w:r>
        <w:rPr>
          <w:rFonts w:ascii="Times New Roman" w:hAnsi="Times New Roman"/>
          <w:sz w:val="20"/>
        </w:rPr>
        <w:t xml:space="preserve">—The accompanying financial statements are prepared in accordance with generally accepted accounting principles applicable to a going concern, which contemplates the realization of assets and satisfaction of liabilities in the normal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the Company has generated no revenue and has funded its operations primarily through the issuance of preferred stock and convertible promissory notes to private investors. The Company has incurred recurring operating losses and negative cash flows from operations since inception, including a net loss of $11,291,213 for the year ended December 31, 2025, and had an accumulated deficit of $127,011,178 as of December 31, 2025. The Company expects to continue to incur operating losses and negative cash flows from operations for the foreseeable future as it continues to advance its research and development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cash and cash equivalents were not sufficient to fund its planned operations and satisfy its obligations as they became due for a period of at least twelve months from the date these financial statements are available to be issued. Accordingly, management determined that conditions existed that raised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In order to mitigate these conditions, on May 18, 2026, the Company was acquired by Quince Therapeutics, Inc. (“Quince”). Concurrent with the closing of the merger, Quince completed a private placement financing that generated gross proceeds of approximately $115,000,000 through the issuance of Quince Series C Convertible Preferred Stock and related warrants (see Note 11, Subsequent Events). In connection with the merger, holders of the Company’s equity securities received Quince common stock and Quince Series C Convertible Preferred Stock, the Company’s outstanding convertible notes converted into equity immediately prior to the effective time of the Merger in accordance with their terms, and the Company’s outstanding options and warrants were assumed or exchanged for corresponding Quince equity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Quince Series C Convertible Preferred Stock issued in the merger and the private placement financing are convertible into Quince common stock upon receipt of the requisite stockholder approval under applicable Nasdaq listing rules. Under the terms of the Certificate of Designation, if Quince fails to obtain the required stockholder approval or otherwise fails to timely deliver shares of common stock upon conversion following the applicable trigger date, which is the date on which the Series C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becomes convertible following receipt of the required stockholder approval, holders of the Series C Convertible Preferred Stock are entitled to require Quince to make cash payments based on the value of the undelivered shares. As a result, the Company concluded that the proceeds received from the private placement financing cannot be relied upon to mitigate the conditions that raised substantial doubt because the availability of those proceeds is subject to conditions that are not entirely within the Company’s control. Management’s plan to convert the Series C Convertible Preferred Stock into common stock and therefore remove the requirement to make cash payment based on the value of the undelivered shares is the execution of a stockholder proxy vote set to take place in or around September 2026. Accordingly, the Company concluded that substantial doubt about the Company’s ability to continue as a going concern continues to exist within one year after the date these financial statements are available to be issued.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do not include any adjustments relating to the recoverability and classification of recorded assets or the amounts and classification of liabilities that may result from the outcome of this uncertainty.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Basis of Presentation</w:t>
      </w:r>
      <w:r>
        <w:rPr>
          <w:rFonts w:ascii="Times New Roman" w:hAnsi="Times New Roman"/>
          <w:sz w:val="20"/>
        </w:rPr>
        <w:t xml:space="preserve">—The accompanying financial statements have been prepared in accordance with accounting principles generally accepted in the United States of America (“US GAAP”). </w:t>
      </w:r>
    </w:p>
    <w:p>
      <w:pPr>
        <w:pStyle w:val="TextBody"/>
        <w:bidi w:val="0"/>
        <w:spacing w:before="120" w:after="0"/>
        <w:jc w:val="left"/>
        <w:rPr>
          <w:rFonts w:ascii="Times New Roman" w:hAnsi="Times New Roman"/>
          <w:sz w:val="20"/>
        </w:rPr>
      </w:pPr>
      <w:r>
        <w:rPr>
          <w:rFonts w:ascii="Times New Roman" w:hAnsi="Times New Roman"/>
          <w:b/>
          <w:sz w:val="20"/>
        </w:rPr>
        <w:t>Reverse Stock Split</w:t>
      </w:r>
      <w:r>
        <w:rPr>
          <w:rFonts w:ascii="Times New Roman" w:hAnsi="Times New Roman"/>
          <w:sz w:val="20"/>
        </w:rPr>
        <w:t xml:space="preserve">—In February 2026, the Company effected a 1-for-10 reverse stock split of its common stock. Accordingly, all stockholders of record received one issued and outstanding common share in exchange for ten outstanding common shares. No fractional shares were issued in connection with the reverse split, and any fractional shares were rounded to the nearest whole share. All share and per-share amounts in these financial statements have been retroactively adjusted to reflect the reverse stock split for all periods presented. </w:t>
      </w:r>
    </w:p>
    <w:p>
      <w:pPr>
        <w:pStyle w:val="TextBody"/>
        <w:bidi w:val="0"/>
        <w:spacing w:before="12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—Financial instruments that potentially subject the Company to concentration of credit risk consist principally of cash and cash equivalents. As of December 31, 2025 and 2024, substantially all the Company’s cash and cash equivalents were invested in money market funds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the financial statements in conformity with US GAAP requires the Company to make estimates and assumptions about future events that affect the amounts reported in its financial statements and accompanying notes. Future events and their effects cannot be determined with certainty. On an ongoing basis, management evaluates these estimates and assumptions. Significant estimates and assumptions include assumptions underlying the fair value used in the calculation of the stock-based compensation, the fair value of warrants and fair values of convertible notes. In addition, management makes assumptions related to work completed but not yet billed by third party vendors to calculate prepaid expenses and accrued expenses. </w:t>
      </w:r>
    </w:p>
    <w:p>
      <w:pPr>
        <w:pStyle w:val="TextBody"/>
        <w:bidi w:val="0"/>
        <w:spacing w:before="12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—All highly liquid investments purchased with a maturity of three months or less are cash equivalents. As of December 31, 2025 and 2024, cash and cash equivalents consist of bank depository accounts and money market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Research and Development Tax Credit Receivable</w:t>
      </w:r>
      <w:r>
        <w:rPr>
          <w:rFonts w:ascii="Times New Roman" w:hAnsi="Times New Roman"/>
          <w:sz w:val="20"/>
        </w:rPr>
        <w:t xml:space="preserve">—Research and development tax credit receivable includes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statements of operations and comprehensive loss in the annual period the corresponding expenses were incurred. </w:t>
      </w:r>
    </w:p>
    <w:p>
      <w:pPr>
        <w:pStyle w:val="TextBody"/>
        <w:bidi w:val="0"/>
        <w:spacing w:before="120" w:after="0"/>
        <w:jc w:val="left"/>
        <w:rPr>
          <w:rFonts w:ascii="Times New Roman" w:hAnsi="Times New Roman"/>
          <w:sz w:val="20"/>
        </w:rPr>
      </w:pPr>
      <w:r>
        <w:rPr>
          <w:rFonts w:ascii="Times New Roman" w:hAnsi="Times New Roman"/>
          <w:b/>
          <w:sz w:val="20"/>
        </w:rPr>
        <w:t>Research and Development</w:t>
      </w:r>
      <w:r>
        <w:rPr>
          <w:rFonts w:ascii="Times New Roman" w:hAnsi="Times New Roman"/>
          <w:sz w:val="20"/>
        </w:rPr>
        <w:t xml:space="preserve">—Research and development expenses are composed of costs incurred in performing research and development activities, including personnel salaries, benefits, and equity-based compensation; external research and development expenses incurred under arrangements with third parties, such as contract research organization agreements, investigational sites, and consultants; the cost of developing and manufacturing clinical study materials, program regulatory costs, expenses associated with obligations under asset acquisitions, license agreements, and other direct and indirect costs. Costs incurred in connection with research and development activities are expensed as incurred. Costs are considered incurred based on an evaluation of the progress to completion of each contract using information and data provided by the respective vendors, including the Company’s clinical sites. Depending upon the timing of invoicing by the service providers, the Company recognizes prepaid expenses or accrued expenses related to these costs. These prepaid expenses or accrued expenses are based on management’s estimates of the work performed under service agreements, milestones achieved, and experience with similar contracts. The Company monitors each of these factors and adjusts estimates accordingly. </w:t>
      </w:r>
    </w:p>
    <w:p>
      <w:pPr>
        <w:pStyle w:val="TextBody"/>
        <w:bidi w:val="0"/>
        <w:spacing w:before="120" w:after="0"/>
        <w:jc w:val="left"/>
        <w:rPr>
          <w:rFonts w:ascii="Times New Roman" w:hAnsi="Times New Roman"/>
          <w:sz w:val="20"/>
        </w:rPr>
      </w:pPr>
      <w:r>
        <w:rPr>
          <w:rFonts w:ascii="Times New Roman" w:hAnsi="Times New Roman"/>
          <w:b/>
          <w:sz w:val="20"/>
        </w:rPr>
        <w:t>Convertible Notes and Warrant Liabilities</w:t>
      </w:r>
      <w:r>
        <w:rPr>
          <w:rFonts w:ascii="Times New Roman" w:hAnsi="Times New Roman"/>
          <w:sz w:val="20"/>
        </w:rPr>
        <w:t xml:space="preserve">—The Company has elected the fair value option under Accounting Standards Codification (“ASC 825”), Financial Instruments, for its convertible notes. The fair value option was elected because the convertible notes contain embedded features and contingent settlement provisions that could otherwise require bifurcation and separate accounting. The election results in a single measurement attribute for the entire convertible notes and eliminates the need to separately account for embedded features and contingent settlement provisions. Accordingly, transaction costs incurred upon issuance of the convertible notes are recognized as incurred in the statements of operations and comprehensive loss within other expense, net. </w:t>
      </w:r>
    </w:p>
    <w:p>
      <w:pPr>
        <w:pStyle w:val="TextBody"/>
        <w:bidi w:val="0"/>
        <w:spacing w:before="120" w:after="0"/>
        <w:jc w:val="left"/>
        <w:rPr>
          <w:rFonts w:ascii="Times New Roman" w:hAnsi="Times New Roman"/>
          <w:sz w:val="20"/>
        </w:rPr>
      </w:pPr>
      <w:r>
        <w:rPr>
          <w:rFonts w:ascii="Times New Roman" w:hAnsi="Times New Roman"/>
          <w:sz w:val="20"/>
        </w:rPr>
        <w:t xml:space="preserve">Convertible notes are initially measured at fair value upon issuance and subsequently remeasured to fair value at each reporting date, with changes in fair value recognized in the statements of operations and comprehensive loss within non-operating expense. The Company has elected to report changes in fair value attributable to the accrual of contractual interest as part of the overall change in fair value recognized in earnings. Accordingly, contractual interest is not presented separately as interest expense. </w:t>
      </w:r>
    </w:p>
    <w:p>
      <w:pPr>
        <w:pStyle w:val="TextBody"/>
        <w:bidi w:val="0"/>
        <w:spacing w:before="120" w:after="0"/>
        <w:jc w:val="left"/>
        <w:rPr>
          <w:rFonts w:ascii="Times New Roman" w:hAnsi="Times New Roman"/>
          <w:sz w:val="20"/>
        </w:rPr>
      </w:pPr>
      <w:r>
        <w:rPr>
          <w:rFonts w:ascii="Times New Roman" w:hAnsi="Times New Roman"/>
          <w:sz w:val="20"/>
        </w:rPr>
        <w:t>The fair value of the convertible notes is estimated using scenario-based valuation techniques that considered the probabilities of financing, conversion, redemption and other settlement scenarios. Significant assumptions include the expected timing and probability of such scenarios, market participant discount rates, contractual terms and other relevant market participant assumptions. Changes in fair value, including those attributable to changes in instrument-specific credit risk, are recognized in the period incurred. Because the valuation incorporates significant unobservable inputs, the fair value measurement of the convertible notes is classified within Level 3 of the fair value hierarchy. The valuation of the convertible notes incorporates market participant assumptions regarding instrument-specific credit risk as one of several unobservable inputs used in estimating fair value. Changes in market participant credit risk remained relatively stable during the periods presented and changes in the fair value of the convertible notes were driven primarily by revisions to probability-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weighted financing and liquidity-event assumptions, contractual terms, and expected timing of future events rather than changes in instrument-specific credit risk. Accordingly, the Company concluded that changes attributable solely to instrument-specific credit risk were not material for the changes in fair value for the years ended December 31, 2024 and 2025, respectively. Additional information regarding the Company’s fair value measurements, including significant assumptions used in the valuation of the convertible notes, is included in Note 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certain freestanding warrants as liabilities in accordance with ASC 480, Distinguishing Liabilities from Equity, because the warrants are exercisable into preferred stock that is redeemable upon the occurrence of events not solely within the Company’s control. Warrant liabilities are initially measured at fair value upon issuance and subsequently remeasured to fair value at each reporting date, with changes in fair value recognized in the statements of operations and comprehensive loss within non-operating expense.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warrant liabilities is determined using valuation methodologies that incorporate probability-weighted financing, conversion, redemption and other liquidity-event scenarios, together with assumptions regarding the expected timing and probability of each scenario, required market participant rates of return and other relevant inputs. Because the valuation incorporates significant unobservable inputs, the fair value measurement of the warrant liabilities is classified within Level 3 of the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Additional information regarding the valuation methodologies, significant assumptions, fair value hierarchy classifications and changes in fair value is included in Note 3, Fair Value Measurements. For the convertible notes, Note 5 also includes the relationship between the aggregate fair value and the unpaid principal balance as required by ASC 825. </w:t>
      </w:r>
    </w:p>
    <w:p>
      <w:pPr>
        <w:pStyle w:val="TextBody"/>
        <w:bidi w:val="0"/>
        <w:spacing w:before="120" w:after="0"/>
        <w:jc w:val="left"/>
        <w:rPr>
          <w:rFonts w:ascii="Times New Roman" w:hAnsi="Times New Roman"/>
          <w:sz w:val="20"/>
        </w:rPr>
      </w:pPr>
      <w:r>
        <w:rPr>
          <w:rFonts w:ascii="Times New Roman" w:hAnsi="Times New Roman"/>
          <w:b/>
          <w:sz w:val="20"/>
        </w:rPr>
        <w:t>Redeemable Convertible Preferred Stock</w:t>
      </w:r>
      <w:r>
        <w:rPr>
          <w:rFonts w:ascii="Times New Roman" w:hAnsi="Times New Roman"/>
          <w:sz w:val="20"/>
        </w:rPr>
        <w:t xml:space="preserve">—The redeemable convertible preferred stock is recorded outside of permanent equity because, while it is not mandatorily redeemable, in certain events which are not solely within the Company’s control, such as a merger, acquisition, or sale of all or substantially all of the Company’s assets (each, a “Deemed Liquidation Event”), the redeemable convertible preferred stock may become redeemable. The Company has not adjusted the carrying values of the redeemable convertible preferred stock to its liquidation value because a deemed liquidation event obligating the Company to pay the liquidation preferences to holders of shares of redeemable convertible preferred stock is not probable of occurring as of December 31, 2025. Subsequent adjustments to the carrying values of convertible preferred stocks to the liquidation value will be made only when it becomes probable that such a deemed liquidation event will occur. </w:t>
      </w:r>
    </w:p>
    <w:p>
      <w:pPr>
        <w:pStyle w:val="TextBody"/>
        <w:bidi w:val="0"/>
        <w:spacing w:before="120" w:after="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—The measurement of stock-based compensation expense is based on the estimated fair value of the awards on the date of grant.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stock-based compensation expense for stock option grants with only service conditions on a straight-line basis over the requisite service period of the individual grants, which is generally the vesting period. Generally, stock options fully vest four years from the grant date and have a term of 10 years.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effect of forfeitures in stock-based compensation expense based on actual forfeitures when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fair value of the shares of common stock underlying stock options has historically been determined by the board of directors (the “Board”), with input from management and contemporaneous third-party valuations, as there was no public market for the common stock. Given the absence of a public trading market for the Company’s common stock, and in accordance with the American Institute of Certified Public Accountants Practice Aid, </w:t>
      </w:r>
      <w:r>
        <w:rPr>
          <w:rFonts w:ascii="Times New Roman" w:hAnsi="Times New Roman"/>
          <w:i/>
          <w:sz w:val="20"/>
        </w:rPr>
        <w:t>Valuation of Privately Held Company Equity Securities Issued as Compensation</w:t>
      </w:r>
      <w:r>
        <w:rPr>
          <w:rFonts w:ascii="Times New Roman" w:hAnsi="Times New Roman"/>
          <w:sz w:val="20"/>
        </w:rPr>
        <w:t xml:space="preserve">, the Board exercised reasonable judgment and considered numerous objective and subjective factors to determine the best estimate of the fair value of the Company’s common stock at each option grant date. </w:t>
      </w:r>
    </w:p>
    <w:p>
      <w:pPr>
        <w:pStyle w:val="TextBody"/>
        <w:bidi w:val="0"/>
        <w:spacing w:before="12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deferred tax assets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it is determined that the Company would be able to realize these deferred tax assets in the future in excess of their net recorded amount, an adjustment would be made to the deferred tax asset valuation allowance, which would reduce the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a two-step process: (1) determine whether it is more likely than not that the tax positions will be sustained on the basis of the technical merits of the position and (2) for those tax positions that meet the more-likely-than-not recognition threshold, recognize the largest amount of tax benefit that is more than 50 percent likely to be realized upon ultimate settlement with the related tax authority. </w:t>
      </w:r>
    </w:p>
    <w:p>
      <w:pPr>
        <w:pStyle w:val="TextBody"/>
        <w:bidi w:val="0"/>
        <w:spacing w:before="120" w:after="0"/>
        <w:jc w:val="left"/>
        <w:rPr>
          <w:rFonts w:ascii="Times New Roman" w:hAnsi="Times New Roman"/>
          <w:sz w:val="20"/>
        </w:rPr>
      </w:pPr>
      <w:r>
        <w:rPr>
          <w:rFonts w:ascii="Times New Roman" w:hAnsi="Times New Roman"/>
          <w:b/>
          <w:sz w:val="20"/>
        </w:rPr>
        <w:t>Accounting Standards Updates - Recently Adopted</w:t>
      </w:r>
      <w:r>
        <w:rPr>
          <w:rFonts w:ascii="Times New Roman" w:hAnsi="Times New Roman"/>
          <w:sz w:val="20"/>
        </w:rPr>
        <w:t xml:space="preserve">—In December 2023, the FASB issued ASU No. 2023-09, Income Taxes (Topic 740): </w:t>
      </w:r>
      <w:r>
        <w:rPr>
          <w:rFonts w:ascii="Times New Roman" w:hAnsi="Times New Roman"/>
          <w:i/>
          <w:sz w:val="20"/>
        </w:rPr>
        <w:t>Improvements to Income Tax Disclosures</w:t>
      </w:r>
      <w:r>
        <w:rPr>
          <w:rFonts w:ascii="Times New Roman" w:hAnsi="Times New Roman"/>
          <w:sz w:val="20"/>
        </w:rPr>
        <w:t xml:space="preserve">,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The Company has adopted ASU 2023-09 for the year ended December 31, 2025 and has retrospectively applied the disclosures for the year ended December 31, 2024. The adoption of ASU 2023-09 had no impact to the Company’s financial position, results of operations,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Accounting Standards Updates - Not Yet Adopted</w:t>
      </w:r>
      <w:r>
        <w:rPr>
          <w:rFonts w:ascii="Times New Roman" w:hAnsi="Times New Roman"/>
          <w:sz w:val="20"/>
        </w:rPr>
        <w:t>—In November 2024, the FASB issued </w:t>
      </w:r>
      <w:r>
        <w:rPr>
          <w:rFonts w:ascii="Times New Roman" w:hAnsi="Times New Roman"/>
          <w:i/>
          <w:sz w:val="20"/>
        </w:rPr>
        <w:t>ASU 2024-03</w:t>
      </w:r>
      <w:r>
        <w:rPr>
          <w:rFonts w:ascii="Times New Roman" w:hAnsi="Times New Roman"/>
          <w:sz w:val="20"/>
        </w:rPr>
        <w:t>, </w:t>
      </w:r>
      <w:r>
        <w:rPr>
          <w:rFonts w:ascii="Times New Roman" w:hAnsi="Times New Roman"/>
          <w:i/>
          <w:sz w:val="20"/>
        </w:rPr>
        <w:t>Income Statement—Reporting Comprehensive Income (Subtopic 220-40): Expense Disaggregation Disclosures</w:t>
      </w:r>
      <w:r>
        <w:rPr>
          <w:rFonts w:ascii="Times New Roman" w:hAnsi="Times New Roman"/>
          <w:sz w:val="20"/>
        </w:rPr>
        <w:t xml:space="preserve">. This update requires entities to disaggregate operating expenses into specific categories, such as salaries and wages, depreciation, and amortization, to provide enhanced transparency into the nature and function of expenses. Accounting Standards Update 2024-03 is effective for fiscal years beginning after December 15, 2026, with early adoption permitted. Accounting Standards Update 2024-03 may be applied retrospectively or prospectively. The Company is evaluating the disclosure requirements related to the new standard. </w:t>
      </w:r>
    </w:p>
    <w:p>
      <w:pPr>
        <w:pStyle w:val="TextBody"/>
        <w:bidi w:val="0"/>
        <w:spacing w:before="120" w:after="0"/>
        <w:jc w:val="left"/>
        <w:rPr>
          <w:rFonts w:ascii="Times New Roman" w:hAnsi="Times New Roman"/>
          <w:sz w:val="20"/>
        </w:rPr>
      </w:pPr>
      <w:r>
        <w:rPr>
          <w:rFonts w:ascii="Times New Roman" w:hAnsi="Times New Roman"/>
          <w:sz w:val="20"/>
        </w:rPr>
        <w:t>In September 2025, the FASB issued </w:t>
      </w:r>
      <w:r>
        <w:rPr>
          <w:rFonts w:ascii="Times New Roman" w:hAnsi="Times New Roman"/>
          <w:i/>
          <w:sz w:val="20"/>
        </w:rPr>
        <w:t>ASU 2025-06, Intangibles—Goodwill and Other—Internal-Use Software (Subtopic 350-40): Accounting for and Disclosure of Software Costs</w:t>
      </w:r>
      <w:r>
        <w:rPr>
          <w:rFonts w:ascii="Times New Roman" w:hAnsi="Times New Roman"/>
          <w:sz w:val="20"/>
        </w:rPr>
        <w:t xml:space="preserve"> (“ASU 2025-06”), which amends certain aspects of the accounting for and disclosure of internal-use software costs. ASU 2025-06 is effective for annual reporting periods beginning with the year ending December 31, 2028, with early adoption permitted. The Company is evaluating the effect that adoption of ASU 2025-06 will have on its financial statements and related disclosures.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believe that any other recently issued, but not yet effective accounting pronouncements, if adopted, would have a material impact on our financial statements or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1—Valuations based on quoted prices in active markets for identical assets or liabilities that an entity has the ability to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3—Valuations based on inputs that are supported by little or no market activity and that are significant to the fair value of the assets or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primarily of money market funds, which are measured at fair value using quoted prices in active markets and are therefore classified as Level 1 within the fair value hierarchy. The carrying values of the Company’s prepaid expenses, accounts payable and accrued expenses approximate their fair values due to their relatively short maturity periods. The Company has elected the fair value option for its convertible notes, which are remeasured at fair value at each reporting date, and classified within Level 3 of the fair value hierarchy because the valuation incorporates significant unobservable inputs, including assumptions regarding expected timing and probability of financing and liquidity events, market participant discount rates, and instrument-specific credit risk. Warrant liabilities are also measured at fair value on a recurring basis and are classified within Level 3 of the fair value hierarchy because their valuation similarly incorporates significant unobservable inputs.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fair value measurement levels during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Company’s financial instruments that were measured at fair value on a recurring basis for recognition or disclosure purposes as of December 31, 2025 and December 31, 2024 by level within the fair value hierarchy.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96"/>
        <w:gridCol w:w="242"/>
        <w:gridCol w:w="140"/>
        <w:gridCol w:w="1029"/>
        <w:gridCol w:w="60"/>
        <w:gridCol w:w="242"/>
        <w:gridCol w:w="203"/>
        <w:gridCol w:w="566"/>
        <w:gridCol w:w="60"/>
        <w:gridCol w:w="242"/>
        <w:gridCol w:w="140"/>
        <w:gridCol w:w="1130"/>
        <w:gridCol w:w="60"/>
        <w:gridCol w:w="242"/>
        <w:gridCol w:w="140"/>
        <w:gridCol w:w="1029"/>
        <w:gridCol w:w="67"/>
      </w:tblGrid>
      <w:tr>
        <w:trPr/>
        <w:tc>
          <w:tcPr>
            <w:tcW w:w="379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528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7" w:type="dxa"/>
            <w:tcBorders/>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458,038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458,038</w:t>
            </w:r>
          </w:p>
        </w:tc>
        <w:tc>
          <w:tcPr>
            <w:tcW w:w="67" w:type="dxa"/>
            <w:tcBorders/>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r>
              <w:rPr/>
              <w:t>458,038</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r>
              <w:rPr/>
              <w:t>458,038</w:t>
            </w:r>
          </w:p>
        </w:tc>
        <w:tc>
          <w:tcPr>
            <w:tcW w:w="67" w:type="dxa"/>
            <w:tcBorders/>
            <w:shd w:fill="CCEEFF" w:val="clear"/>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8,492,726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3,183,628</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11,676,354</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4"/>
        <w:gridCol w:w="241"/>
        <w:gridCol w:w="140"/>
        <w:gridCol w:w="1041"/>
        <w:gridCol w:w="60"/>
        <w:gridCol w:w="241"/>
        <w:gridCol w:w="203"/>
        <w:gridCol w:w="567"/>
        <w:gridCol w:w="60"/>
        <w:gridCol w:w="241"/>
        <w:gridCol w:w="140"/>
        <w:gridCol w:w="1132"/>
        <w:gridCol w:w="60"/>
        <w:gridCol w:w="241"/>
        <w:gridCol w:w="140"/>
        <w:gridCol w:w="1041"/>
        <w:gridCol w:w="66"/>
      </w:tblGrid>
      <w:tr>
        <w:trPr/>
        <w:tc>
          <w:tcPr>
            <w:tcW w:w="3774"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530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774"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2,013,076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2,013,076</w:t>
            </w:r>
          </w:p>
        </w:tc>
        <w:tc>
          <w:tcPr>
            <w:tcW w:w="66"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2,013,076</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2,013,076</w:t>
            </w:r>
          </w:p>
        </w:tc>
        <w:tc>
          <w:tcPr>
            <w:tcW w:w="66" w:type="dxa"/>
            <w:tcBorders/>
            <w:shd w:fill="CCEEFF" w:val="clear"/>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2,462,714</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74"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863,694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 </w:t>
            </w:r>
            <w:r>
              <w:rPr/>
              <w:t>3,326,408</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77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convertible notes and warrant liabilities are classified within Level 3 of the fair value hierarchy because their valuations incorporate significant unobservable inputs. Refer to Note 2, Summary of Significant Accounting Policies, for a discussion of the valuation methodologies and significant assumptions used in estimating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changes in the Company’s Level 3 financial liabilities measured at fair value on a recurring basis as of December 31, 2024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6"/>
        <w:gridCol w:w="311"/>
        <w:gridCol w:w="232"/>
        <w:gridCol w:w="1699"/>
        <w:gridCol w:w="60"/>
        <w:gridCol w:w="311"/>
        <w:gridCol w:w="140"/>
        <w:gridCol w:w="1012"/>
        <w:gridCol w:w="64"/>
      </w:tblGrid>
      <w:tr>
        <w:trPr/>
        <w:tc>
          <w:tcPr>
            <w:tcW w:w="392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Fair Value of Liabilities</w:t>
            </w:r>
          </w:p>
        </w:tc>
        <w:tc>
          <w:tcPr>
            <w:tcW w:w="311" w:type="dxa"/>
            <w:tcBorders/>
            <w:vAlign w:val="bottom"/>
          </w:tcPr>
          <w:p>
            <w:pPr>
              <w:pStyle w:val="TableContents"/>
              <w:bidi w:val="0"/>
              <w:spacing w:before="0" w:after="283"/>
              <w:jc w:val="left"/>
              <w:rPr/>
            </w:pPr>
            <w:r>
              <w:rPr/>
              <w:t>  </w:t>
            </w:r>
          </w:p>
        </w:tc>
        <w:tc>
          <w:tcPr>
            <w:tcW w:w="1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 Notes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3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3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6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26"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at fair value</w:t>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right"/>
              <w:rPr/>
            </w:pPr>
            <w:r>
              <w:rPr/>
              <w:t>1,950,547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799,453</w:t>
            </w:r>
          </w:p>
        </w:tc>
        <w:tc>
          <w:tcPr>
            <w:tcW w:w="64" w:type="dxa"/>
            <w:tcBorders/>
            <w:vAlign w:val="bottom"/>
          </w:tcPr>
          <w:p>
            <w:pPr>
              <w:pStyle w:val="TableContents"/>
              <w:bidi w:val="0"/>
              <w:spacing w:before="0" w:after="283"/>
              <w:jc w:val="left"/>
              <w:rPr/>
            </w:pPr>
            <w:r>
              <w:rPr/>
              <w:t> </w:t>
            </w:r>
          </w:p>
        </w:tc>
      </w:tr>
      <w:tr>
        <w:trPr/>
        <w:tc>
          <w:tcPr>
            <w:tcW w:w="3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3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283"/>
              <w:jc w:val="right"/>
              <w:rPr/>
            </w:pPr>
            <w:r>
              <w:rPr/>
              <w:t>512,168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64,241</w:t>
            </w:r>
          </w:p>
        </w:tc>
        <w:tc>
          <w:tcPr>
            <w:tcW w:w="64" w:type="dxa"/>
            <w:tcBorders/>
            <w:shd w:fill="CCEEFF" w:val="clear"/>
            <w:vAlign w:val="bottom"/>
          </w:tcPr>
          <w:p>
            <w:pPr>
              <w:pStyle w:val="TableContents"/>
              <w:bidi w:val="0"/>
              <w:spacing w:before="0" w:after="283"/>
              <w:jc w:val="left"/>
              <w:rPr/>
            </w:pPr>
            <w:r>
              <w:rPr/>
              <w:t> </w:t>
            </w:r>
          </w:p>
        </w:tc>
      </w:tr>
      <w:tr>
        <w:trPr/>
        <w:tc>
          <w:tcPr>
            <w:tcW w:w="392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699" w:type="dxa"/>
            <w:tcBorders/>
            <w:vAlign w:val="bottom"/>
          </w:tcPr>
          <w:p>
            <w:pPr>
              <w:pStyle w:val="TableContents"/>
              <w:bidi w:val="0"/>
              <w:spacing w:before="0" w:after="283"/>
              <w:jc w:val="right"/>
              <w:rPr/>
            </w:pPr>
            <w:r>
              <w:rPr/>
              <w:t>2,462,714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863,694</w:t>
            </w:r>
          </w:p>
        </w:tc>
        <w:tc>
          <w:tcPr>
            <w:tcW w:w="64" w:type="dxa"/>
            <w:tcBorders/>
            <w:vAlign w:val="bottom"/>
          </w:tcPr>
          <w:p>
            <w:pPr>
              <w:pStyle w:val="TableContents"/>
              <w:bidi w:val="0"/>
              <w:spacing w:before="0" w:after="283"/>
              <w:jc w:val="left"/>
              <w:rPr/>
            </w:pPr>
            <w:r>
              <w:rPr/>
              <w:t> </w:t>
            </w:r>
          </w:p>
        </w:tc>
      </w:tr>
      <w:tr>
        <w:trPr/>
        <w:tc>
          <w:tcPr>
            <w:tcW w:w="392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6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recognition at fair value</w:t>
            </w:r>
          </w:p>
        </w:tc>
        <w:tc>
          <w:tcPr>
            <w:tcW w:w="3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283"/>
              <w:jc w:val="right"/>
              <w:rPr/>
            </w:pPr>
            <w:r>
              <w:rPr/>
              <w:t>3,115,541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80,634</w:t>
            </w:r>
          </w:p>
        </w:tc>
        <w:tc>
          <w:tcPr>
            <w:tcW w:w="64" w:type="dxa"/>
            <w:tcBorders/>
            <w:shd w:fill="CCEEFF" w:val="clear"/>
            <w:vAlign w:val="bottom"/>
          </w:tcPr>
          <w:p>
            <w:pPr>
              <w:pStyle w:val="TableContents"/>
              <w:bidi w:val="0"/>
              <w:spacing w:before="0" w:after="283"/>
              <w:jc w:val="left"/>
              <w:rPr/>
            </w:pPr>
            <w:r>
              <w:rPr/>
              <w:t> </w:t>
            </w:r>
          </w:p>
        </w:tc>
      </w:tr>
      <w:tr>
        <w:trPr/>
        <w:tc>
          <w:tcPr>
            <w:tcW w:w="3926"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2024 Notes to 2025 Notes</w:t>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right"/>
              <w:rPr/>
            </w:pPr>
            <w:r>
              <w:rPr/>
              <w:t>1,501,535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3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283"/>
              <w:jc w:val="right"/>
              <w:rPr/>
            </w:pPr>
            <w:r>
              <w:rPr/>
              <w:t>1,412,937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2,239,300</w:t>
            </w:r>
          </w:p>
        </w:tc>
        <w:tc>
          <w:tcPr>
            <w:tcW w:w="64" w:type="dxa"/>
            <w:tcBorders/>
            <w:shd w:fill="CCEEFF" w:val="clear"/>
            <w:vAlign w:val="bottom"/>
          </w:tcPr>
          <w:p>
            <w:pPr>
              <w:pStyle w:val="TableContents"/>
              <w:bidi w:val="0"/>
              <w:spacing w:before="0" w:after="283"/>
              <w:jc w:val="left"/>
              <w:rPr/>
            </w:pPr>
            <w:r>
              <w:rPr/>
              <w:t> </w:t>
            </w:r>
          </w:p>
        </w:tc>
      </w:tr>
      <w:tr>
        <w:trPr/>
        <w:tc>
          <w:tcPr>
            <w:tcW w:w="392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6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2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699" w:type="dxa"/>
            <w:tcBorders/>
            <w:vAlign w:val="bottom"/>
          </w:tcPr>
          <w:p>
            <w:pPr>
              <w:pStyle w:val="TableContents"/>
              <w:bidi w:val="0"/>
              <w:spacing w:before="0" w:after="283"/>
              <w:jc w:val="right"/>
              <w:rPr/>
            </w:pPr>
            <w:r>
              <w:rPr/>
              <w:t>8,492,726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3,183,628</w:t>
            </w:r>
          </w:p>
        </w:tc>
        <w:tc>
          <w:tcPr>
            <w:tcW w:w="64" w:type="dxa"/>
            <w:tcBorders/>
            <w:vAlign w:val="bottom"/>
          </w:tcPr>
          <w:p>
            <w:pPr>
              <w:pStyle w:val="TableContents"/>
              <w:bidi w:val="0"/>
              <w:spacing w:before="0" w:after="283"/>
              <w:jc w:val="left"/>
              <w:rPr/>
            </w:pPr>
            <w:r>
              <w:rPr/>
              <w:t> </w:t>
            </w:r>
          </w:p>
        </w:tc>
      </w:tr>
      <w:tr>
        <w:trPr/>
        <w:tc>
          <w:tcPr>
            <w:tcW w:w="392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6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the convertible notes and warrants are accounted for as separate units of account and each measured at fair value, the aggregate fair value of the instruments issued at inception exceeded the cash proceeds received. As a result, the Company recognized a loss at issuance for the convertible notes within non-operating expense, net. The aggregate initial fair value of the convertible notes and warrants issued during the year ended December 31, 2024 exceeded the cash proceeds received by $516,635, resulting in a $366,444 loss was recorded in the change in fair value of notes and a $150,191 loss was recorded within change in fair value of warrants within non-operating expense, net upon issuance in the accompanying statements of operations and comprehensive loss. The aggregate initial fair value of the convertible notes and warrants issued during the year ended December 31, 2025 exceeded the cash proceeds received by $1,560,240, resulting in a $1,520,880 loss was recorded in the change in fair value of notes and a $39,360 loss was recorded within change in fair value of warrants within non-operating expense, net upon issuance in the accompanying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significant assumptions related to the fair value for the convertible notes and warrants for the years ended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9"/>
        <w:gridCol w:w="286"/>
        <w:gridCol w:w="60"/>
        <w:gridCol w:w="1158"/>
        <w:gridCol w:w="275"/>
        <w:gridCol w:w="190"/>
        <w:gridCol w:w="60"/>
        <w:gridCol w:w="1158"/>
        <w:gridCol w:w="279"/>
      </w:tblGrid>
      <w:tr>
        <w:trPr/>
        <w:tc>
          <w:tcPr>
            <w:tcW w:w="428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8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 to Next Equity Financing (in years)</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0.00 - 1.53</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1.78 - 2.00</w:t>
            </w:r>
          </w:p>
        </w:tc>
        <w:tc>
          <w:tcPr>
            <w:tcW w:w="279" w:type="dxa"/>
            <w:tcBorders/>
            <w:shd w:fill="CCEEFF" w:val="clear"/>
            <w:vAlign w:val="bottom"/>
          </w:tcPr>
          <w:p>
            <w:pPr>
              <w:pStyle w:val="TableContents"/>
              <w:bidi w:val="0"/>
              <w:spacing w:before="0" w:after="283"/>
              <w:jc w:val="left"/>
              <w:rPr/>
            </w:pPr>
            <w:r>
              <w:rPr/>
              <w:t> </w:t>
            </w:r>
          </w:p>
        </w:tc>
      </w:tr>
      <w:tr>
        <w:trPr/>
        <w:tc>
          <w:tcPr>
            <w:tcW w:w="4289"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Next Equity Financing</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0.0 - 60.0</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w:t>
            </w:r>
          </w:p>
        </w:tc>
        <w:tc>
          <w:tcPr>
            <w:tcW w:w="279"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37.0 - 38.4</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36.6 - 36.8</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Prepaid Expenses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consist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3"/>
        <w:gridCol w:w="246"/>
        <w:gridCol w:w="141"/>
        <w:gridCol w:w="827"/>
        <w:gridCol w:w="60"/>
        <w:gridCol w:w="246"/>
        <w:gridCol w:w="141"/>
        <w:gridCol w:w="827"/>
        <w:gridCol w:w="64"/>
      </w:tblGrid>
      <w:tr>
        <w:trPr/>
        <w:tc>
          <w:tcPr>
            <w:tcW w:w="52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8"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8" w:type="dxa"/>
            <w:gridSpan w:val="2"/>
            <w:tcBorders/>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expenses</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127,317</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84,008</w:t>
            </w:r>
          </w:p>
        </w:tc>
        <w:tc>
          <w:tcPr>
            <w:tcW w:w="64"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Prepaid clinical study expenses</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74,438</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75,938</w:t>
            </w:r>
          </w:p>
        </w:tc>
        <w:tc>
          <w:tcPr>
            <w:tcW w:w="64"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51,684</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52,074</w:t>
            </w:r>
          </w:p>
        </w:tc>
        <w:tc>
          <w:tcPr>
            <w:tcW w:w="64"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Other prepaid expenses</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76,991</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57,876</w:t>
            </w:r>
          </w:p>
        </w:tc>
        <w:tc>
          <w:tcPr>
            <w:tcW w:w="64" w:type="dxa"/>
            <w:tcBorders/>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330,430</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269,896</w:t>
            </w:r>
          </w:p>
        </w:tc>
        <w:tc>
          <w:tcPr>
            <w:tcW w:w="64" w:type="dxa"/>
            <w:tcBorders/>
            <w:shd w:fill="CCEEFF" w:val="clear"/>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 of the following as of December 31: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3"/>
        <w:gridCol w:w="246"/>
        <w:gridCol w:w="141"/>
        <w:gridCol w:w="827"/>
        <w:gridCol w:w="60"/>
        <w:gridCol w:w="246"/>
        <w:gridCol w:w="141"/>
        <w:gridCol w:w="827"/>
        <w:gridCol w:w="64"/>
      </w:tblGrid>
      <w:tr>
        <w:trPr/>
        <w:tc>
          <w:tcPr>
            <w:tcW w:w="52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8"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8" w:type="dxa"/>
            <w:gridSpan w:val="2"/>
            <w:tcBorders/>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273,503</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637,105</w:t>
            </w:r>
          </w:p>
        </w:tc>
        <w:tc>
          <w:tcPr>
            <w:tcW w:w="64"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155,704</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14,450</w:t>
            </w:r>
          </w:p>
        </w:tc>
        <w:tc>
          <w:tcPr>
            <w:tcW w:w="64"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 liabilities</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21,613</w:t>
            </w:r>
          </w:p>
        </w:tc>
        <w:tc>
          <w:tcPr>
            <w:tcW w:w="64" w:type="dxa"/>
            <w:tcBorders/>
            <w:shd w:fill="CCEEFF" w:val="clear"/>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449,207</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673,168</w:t>
            </w:r>
          </w:p>
        </w:tc>
        <w:tc>
          <w:tcPr>
            <w:tcW w:w="64" w:type="dxa"/>
            <w:tcBorders/>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NOTES AND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October 2024, the Company entered into a Convertible Note and Warrant Purchase Agreement pursuant to which it issued convertible promissory notes with an aggregate principal balance of $2,750,000 (the “2024 Convertible Notes”), which had a contractual maturity date of October 11, 2026. Accordingly, the 2024 Convertible Notes were classified as non-current liabilities in the accompanying balance sheet as of December 31, 2024. The 2024 Convertible Notes accrue interest at 4.21% per annum and were convertible into equity securities of the Company upon the occurrence of certain financing, liquidity, maturity, and other specified events. Concurrently with the issuance of the 2024 Convertible Notes, the Company issued freestanding warrants to purchase equity securities of the Company. The Company elected the fair value option under ASC 825 for the 2024 Convertible Notes upon issuance. Accordingly, the 2024 Convertible Notes were recorded at fair value at issuance and remeasured to fair value at each reporting date, with changes in fair value recognized in earnings. The Company has elected to report changes in fair value attributable to the accrual of contractual interest as part of the overall change in fair value recognized in earnings. Because the 2024 Convertible Notes and warrants are accounted for as separate units of account and each measured at fair value, the aggregate fair value of the instruments issued at inception exceeded the cash proceeds received. As a result, the Company recognized a loss at issuance within non-operating expense. The aggregate initial fair value of the 2024 Convertible Notes and warrants exceeded the cash proceeds received by $516,635, resulting in a $366,444 loss was recorded in the change in fair value of notes and a $150,191 loss was recorded within change in fair value of warrants within non-operating expense net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June 2025 Exchange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Company exchanged the outstanding 2024 Convertible Notes for newly issued convertible notes (the “June 2025 Exchange”). The amended instruments (the “2025 Convertible Notes”) modified several key economic terms, including increasing the financing-event payout multiple from 1.0x to 1.43x, increasing the liquidation-event payout multiple from 3.0x to 4.0x, revising conversion mechanics through the introduction of valuation cap and discount-based features, and modifying certain conversion and liquidation participation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the June 2025 Exchange under ASC 470-50 and concluded that the amendments significantly modified the economics of the 2024 Convertible Notes, including revised financing and liquidation payout multiples, revised conversion pricing mechanics and enhanced participation rights. Accordingly, the June 2025 Exchange was accounted for as an extinguishment under ASC 470-50.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June 2025 Exchange, the Company recognized a loss on exchange of $1,501,535 representing the difference between the fair value of the 2025 Convertible Notes and the carrying value of the 2024 Convertible Notes. The Company concluded that the 2025 Convertible Notes remained eligible for the fair value option as the amended conversion feature did not represent a substantial premium under ASC 825 and elected the fair value option upon initial recognition for all 2025 Convertible Notes, including those issued in the June 2025 Exchange and those issued to investors in separate financing transactions. Accordingly, the Company continued to apply the fair value option and no portion of the 2025 Convertible Notes were classified within stockholders’ deficit.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Amendments and February 2026 Exchange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June 2025 Exchange, the Company entered into a series of amendments to the 2025 Convertible Notes and related warrants. These amendments primarily consisted of maturity extensions to the 2025 Convertible Notes. The Company concluded that these amendments did not introduce new settlement outcomes or fundamentally change the economic characteristics of the 2025 Convertible Notes and therefore accounted for such amendments as modifications. Accordingly, the existing carrying value of the 2025 Convertible Notes was retained and no gain or loss was recognized as a result of the modifications. As of December 31, 2025, the 2025 Convertible Notes had a contractual maturity date of January 31, 2026 and were therefore classified as current liabilities in the accompanying balance sheet.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in connection with the Company’s broader recapitalization and bridge financing transaction, the Company exchanged the outstanding 2025 Convertible Notes for newly issued 2026 Convertible Notes. The exchange primarily extended the maturity of the 2025 Convertible Notes while maintaining substantially similar payout structures and economic characteristics. The Company concluded that the exchange did not result in a fundamental change to the nature of the instrument and therefore accounted for the exchange as a modification. Accordingly, the existing carrying value of the 2025 Convertible Notes was retained, no extinguishment accounting was applied, and no gain or loss was recognized as a result of the modification. The Company concluded that the 2026 Convertible Notes remained eligible for the fair value election under ASC 825 and were designated at fair value upon initial recognition. The 2026 Convertible Notes were accounted for as a continuation of the 2025 Convertible Notes. Accordingly, any fees or other amounts exchanged directly between the Company and the noteholders as part of the modification adjusted the carrying amount of the 2025 Convertible Notes and third-party costs were recognized as expense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warrants issued in connection with the convertible note financings are freestanding financial instruments. The warrants are exercisable for equity securities of the Company and are classified as liabilities under ASC 480 because they are exercisable into preferred stock that contains redemption features not solely within the Company’s control. Accordingly, the warrants are recorded as liabilities at fair value upon issuance and are subsequently remeasured at fair value at each reporting date, with changes in fair value recognized in earnings.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amended certain warrant terms, including increasing warrants associated with the outstanding convertible notes. The amendment increased the fair value of the warrant liabilities. The Company concluded that the amendment did not significantly modify the economic characteristics of the related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the Company recognized a $512,168 loss related to changes in the fair value of 2024 Convertible Notes and a $64,241 loss related to changes in the fair value of warrant liabilities. During the year ended December 31, 2025, the Company recognized a $1,412,937 loss related to the changes in fair value of convertible notes, $1,501,535 loss on the exchange of the 2024 Convertible Notes for 2025 Convertible Notes, and a $2,239,300 loss related to changes in the fair value of warrant liabilities. All such amounts were recorded within non-operating expense in the Company’s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aggregate unpaid principal balance of the Convertible Notes compared with their aggregate fair value as of each balance sheet date, including the excess (deficit) of fair value over unpaid principal: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26"/>
        <w:gridCol w:w="345"/>
        <w:gridCol w:w="230"/>
        <w:gridCol w:w="1747"/>
        <w:gridCol w:w="155"/>
        <w:gridCol w:w="315"/>
        <w:gridCol w:w="230"/>
        <w:gridCol w:w="1747"/>
        <w:gridCol w:w="160"/>
      </w:tblGrid>
      <w:tr>
        <w:trPr/>
        <w:tc>
          <w:tcPr>
            <w:tcW w:w="2826"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6"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 fair value</w:t>
            </w:r>
          </w:p>
        </w:tc>
        <w:tc>
          <w:tcPr>
            <w:tcW w:w="3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747" w:type="dxa"/>
            <w:tcBorders/>
            <w:shd w:fill="CCEEFF" w:val="clear"/>
            <w:vAlign w:val="bottom"/>
          </w:tcPr>
          <w:p>
            <w:pPr>
              <w:pStyle w:val="TableContents"/>
              <w:bidi w:val="0"/>
              <w:spacing w:before="0" w:after="283"/>
              <w:jc w:val="right"/>
              <w:rPr/>
            </w:pPr>
            <w:r>
              <w:rPr/>
              <w:t>8,492,726</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747" w:type="dxa"/>
            <w:tcBorders/>
            <w:shd w:fill="CCEEFF" w:val="clear"/>
            <w:vAlign w:val="bottom"/>
          </w:tcPr>
          <w:p>
            <w:pPr>
              <w:pStyle w:val="TableContents"/>
              <w:bidi w:val="0"/>
              <w:spacing w:before="0" w:after="283"/>
              <w:jc w:val="right"/>
              <w:rPr/>
            </w:pPr>
            <w:r>
              <w:rPr/>
              <w:t>2,462,714</w:t>
            </w:r>
          </w:p>
        </w:tc>
        <w:tc>
          <w:tcPr>
            <w:tcW w:w="160"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Unpaid convertible notes principal</w:t>
            </w:r>
          </w:p>
        </w:tc>
        <w:tc>
          <w:tcPr>
            <w:tcW w:w="3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(5,946,175</w:t>
            </w:r>
          </w:p>
        </w:tc>
        <w:tc>
          <w:tcPr>
            <w:tcW w:w="1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(2,750,000</w:t>
            </w:r>
          </w:p>
        </w:tc>
        <w:tc>
          <w:tcPr>
            <w:tcW w:w="160" w:type="dxa"/>
            <w:tcBorders/>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excess (deficit) over unpaid principal</w:t>
            </w:r>
          </w:p>
        </w:tc>
        <w:tc>
          <w:tcPr>
            <w:tcW w:w="3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747" w:type="dxa"/>
            <w:tcBorders/>
            <w:shd w:fill="CCEEFF" w:val="clear"/>
            <w:vAlign w:val="bottom"/>
          </w:tcPr>
          <w:p>
            <w:pPr>
              <w:pStyle w:val="TableContents"/>
              <w:bidi w:val="0"/>
              <w:spacing w:before="0" w:after="283"/>
              <w:jc w:val="right"/>
              <w:rPr/>
            </w:pPr>
            <w:r>
              <w:rPr/>
              <w:t>2,546,551</w:t>
            </w:r>
          </w:p>
        </w:tc>
        <w:tc>
          <w:tcPr>
            <w:tcW w:w="155"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747" w:type="dxa"/>
            <w:tcBorders/>
            <w:shd w:fill="CCEEFF" w:val="clear"/>
            <w:vAlign w:val="bottom"/>
          </w:tcPr>
          <w:p>
            <w:pPr>
              <w:pStyle w:val="TableContents"/>
              <w:bidi w:val="0"/>
              <w:spacing w:before="0" w:after="283"/>
              <w:jc w:val="right"/>
              <w:rPr/>
            </w:pPr>
            <w:r>
              <w:rPr/>
              <w:t>(287,286</w:t>
            </w:r>
          </w:p>
        </w:tc>
        <w:tc>
          <w:tcPr>
            <w:tcW w:w="160" w:type="dxa"/>
            <w:tcBorders/>
            <w:shd w:fill="CCEEFF" w:val="clear"/>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issued five series of Convertible Preferred Stock, Series A through Series E. </w:t>
      </w:r>
    </w:p>
    <w:p>
      <w:pPr>
        <w:pStyle w:val="TextBody"/>
        <w:bidi w:val="0"/>
        <w:spacing w:before="120" w:after="0"/>
        <w:jc w:val="left"/>
        <w:rPr>
          <w:rFonts w:ascii="Times New Roman" w:hAnsi="Times New Roman"/>
          <w:b/>
          <w:sz w:val="20"/>
        </w:rPr>
      </w:pPr>
      <w:r>
        <w:rPr>
          <w:rFonts w:ascii="Times New Roman" w:hAnsi="Times New Roman"/>
          <w:b/>
          <w:sz w:val="20"/>
        </w:rPr>
        <w:t xml:space="preserve">Series A Extinguishment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the Company entered into a Fourth Amended and Restated Voting Agreement and amended its certificate of incorporation to modify the governance rights associated with its Series A Preferred Stock. The amendments removed certain rights previously granted to Series A holders, including (i) the right to elect a member of the Board of Directors and (ii) enhanced voting rights that provided Series A holders with disproportionate voting power relative to their economic ownership (including the elimination of the “special voting” structure under which Series A holders had significantly greater voting power on an as-converted basis). The holders were not compensated for the removal for their special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evaluated the amendment under the applicable guidance for preferred stock modifications and extinguishments and concluded that the removal of these governance and control rights represented a substantive change to the terms of the instrument, as the amendments significantly reduced the relative voting power and governance influence of Series A holders, despite no changes to the underlying economic terms. Accordingly, the amendment was accounted for as an extinguishment of the existing Series A Preferred Stock and the issuance of new 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modified Series A Preferred Stock immediately following the amendment was estimated to be $17,813,805, based on a contemporaneous valuation of the Company’s equity, compared to a carrying amount of $20,197,475 immediately prior to the amendment. As a result, the Company recognized a deemed dividend of $2,383,670, representing the reduction in the carrying value of the Series A Preferred Stock and the resulting transfer of value to the remaining equity holders. The deemed dividend was recorded as a reduction to accumulated deficit. No changes were made to the liquidation preferences, dividend rights, conversion rights, or other economic terms of the Series A Preferred Stock as part of the amendment; rather, the amendment exclusively impacted governance and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effected a 1-for-10 reverse stock split of its common stock and preferred stock in connection with a broader recapitalization transaction (see Note 11 – Subsequent Events for further details). All share and per share amounts presented in the accompanying financial statements and related notes have been retrospectively adjusted to reflect the reverse stock split for all periods presented. The reverse stock split did not affect the par value of the Company’s common stock or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authorized, issued, and outstanding Convertible Preferred Stock as of December 31, 2025 (reflecting the 1-for-10 reverse stock split effected in February 2026): </w:t>
      </w:r>
    </w:p>
    <w:p>
      <w:pPr>
        <w:pStyle w:val="TextBody"/>
        <w:bidi w:val="0"/>
        <w:spacing w:before="0" w:after="0"/>
        <w:jc w:val="left"/>
        <w:rPr/>
      </w:pPr>
      <w:r>
        <w:rPr/>
        <w:t> </w:t>
      </w:r>
    </w:p>
    <w:tbl>
      <w:tblPr>
        <w:tblW w:w="12625" w:type="dxa"/>
        <w:jc w:val="center"/>
        <w:tblInd w:w="0" w:type="dxa"/>
        <w:tblLayout w:type="fixed"/>
        <w:tblCellMar>
          <w:top w:w="0" w:type="dxa"/>
          <w:left w:w="0" w:type="dxa"/>
          <w:bottom w:w="0" w:type="dxa"/>
          <w:right w:w="0" w:type="dxa"/>
        </w:tblCellMar>
      </w:tblPr>
      <w:tblGrid>
        <w:gridCol w:w="560"/>
        <w:gridCol w:w="120"/>
        <w:gridCol w:w="60"/>
        <w:gridCol w:w="1445"/>
        <w:gridCol w:w="60"/>
        <w:gridCol w:w="120"/>
        <w:gridCol w:w="295"/>
        <w:gridCol w:w="1180"/>
        <w:gridCol w:w="60"/>
        <w:gridCol w:w="120"/>
        <w:gridCol w:w="60"/>
        <w:gridCol w:w="1115"/>
        <w:gridCol w:w="60"/>
        <w:gridCol w:w="120"/>
        <w:gridCol w:w="73"/>
        <w:gridCol w:w="1342"/>
        <w:gridCol w:w="60"/>
        <w:gridCol w:w="120"/>
        <w:gridCol w:w="158"/>
        <w:gridCol w:w="1377"/>
        <w:gridCol w:w="60"/>
        <w:gridCol w:w="120"/>
        <w:gridCol w:w="140"/>
        <w:gridCol w:w="800"/>
        <w:gridCol w:w="60"/>
        <w:gridCol w:w="120"/>
        <w:gridCol w:w="140"/>
        <w:gridCol w:w="1220"/>
        <w:gridCol w:w="60"/>
        <w:gridCol w:w="120"/>
        <w:gridCol w:w="244"/>
        <w:gridCol w:w="976"/>
        <w:gridCol w:w="6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bidi w:val="0"/>
              <w:spacing w:before="0" w:after="283"/>
              <w:jc w:val="left"/>
              <w:rPr>
                <w:b/>
              </w:rPr>
            </w:pPr>
            <w:r>
              <w:rPr>
                <w:b/>
              </w:rPr>
              <w:t>Class</w:t>
            </w:r>
          </w:p>
        </w:tc>
        <w:tc>
          <w:tcPr>
            <w:tcW w:w="12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Year of</w:t>
            </w:r>
          </w:p>
          <w:p>
            <w:pPr>
              <w:pStyle w:val="TableContents"/>
              <w:bidi w:val="0"/>
              <w:spacing w:before="0" w:after="20"/>
              <w:jc w:val="center"/>
              <w:rPr>
                <w:rFonts w:ascii="Times New Roman" w:hAnsi="Times New Roman"/>
                <w:b/>
                <w:sz w:val="16"/>
              </w:rPr>
            </w:pPr>
            <w:r>
              <w:rPr>
                <w:rFonts w:ascii="Times New Roman" w:hAnsi="Times New Roman"/>
                <w:b/>
                <w:sz w:val="16"/>
              </w:rPr>
              <w:t>Issuance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rPr>
            </w:pPr>
            <w:r>
              <w:rPr>
                <w:b/>
              </w:rPr>
              <w:t>Issuance Price</w:t>
              <w:br/>
              <w:t>per Share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center"/>
              <w:rPr>
                <w:b/>
              </w:rPr>
            </w:pPr>
            <w:r>
              <w:rPr>
                <w:b/>
              </w:rPr>
              <w:t>Total Proceeds</w:t>
              <w:br/>
              <w:t>or Exchange</w:t>
              <w:br/>
              <w:t>Value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Issuance</w:t>
              <w:br/>
              <w:t>Costs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Net Proceeds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Liquidation</w:t>
              <w:br/>
              <w:t>Price per</w:t>
              <w:br/>
              <w:t>Share</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2,525,000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1,010,000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1,010,000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2015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1,250,000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2015 - 2016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3,529,420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3,529,413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46,941,193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247,480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46,693,713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2018 and 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2,037,245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1,414,345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18,810,789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278,573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18,532,216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13.40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4,241,659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2,117,253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28,371,190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216,950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28,154,240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13.40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13,583,324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10,836,011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105,133,172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743,003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104,390,169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powers, preferences, rights, qualifications, limitations, and restrictions of the shares of Convertible Preferred Stock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shall accrue to holders of the Convertible Preferred Stock at the rate of 8% of the original issue price for the applicable series of Convertible Preferred Stock per annum subject to appropriate adjustment in the event of any stock dividend, stock split, combination or other similar recapitalization, reclassification and other similar events payable only when, and if, declared by the Board. The right to receive dividends on Convertible Preferred Stock are not cumulative, and therefore, if not declared in any year, the right to such dividends shall terminate and shall not carryforward into the next year. There have been no dividends declared to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winding up of the Company, whether voluntary or involuntary or a deemed liquidation event (which includes a merger, the sale of all of the Company’s assets, or a change of control) the holders of the Convertible Preferred Stock are entitled to be paid out of the assets of the Company available for distribution to stockholders, pari passu, at a liquidation price per share equal to the greater of: (1) the initial liquidation price of such Convertible Preferred Stock, plus any declared and unpaid dividends or (2) an amount that would have been payable had all the shares of the Convertible Preferred Stock been converted into the common stock. These payments will be made to or set aside prior to the holders of shares of any other class or series of capital stock that is not, by its terms, senior to the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shares of Convertible Preferred Stock shall be entitled to vote together with the holders of Common Stock on all matters submitted to a vote of stockholders and shall vote as a single class on an as-converted basis, except as otherwise required by applicable law or the Company’s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Effective October 7, 2024, the Company amended its Certificate of Incorporation and related governance documents to eliminate the enhanced voting rights previously associated with the Series A Convertible Preferred Stock, including the special voting structure and the right of the holders of Series A Convertible Preferred Stock to designate a member of the Board of Directors. Following such amendment, the Series A Convertible Preferred Stock no longer carries any special voting or governance rights beyond those applicable to the Company’s other series of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at the option of the holder, at any time into such number of fully paid and nonassessable shares of common stock as is determined by dividing the applicable original issue price of such series of Convertible Preferred Stock by the applicable conversion price then in effect. The conversion price is subject to customary adjustment for stock splits, stock dividends, combinations, recapitalizations, reclassifications and similar events, as provided in the Company’s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shall automatically convert into common stock upon the occurrence of (i) the closing of the sale of shares of common stock to the public in a firm commitment underwritten public offering meeting the qualifications specified in the Company’s Certificate of Incorporation or (ii) the written consent or affirmative vote of the holders of the requisite percentage of the outstanding shares of Convertible Preferred Stock, voting together as a single class on an as-converted basis, as specified in the Company’s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October 7, 2024 amendment to the Company’s Certificate of Incorporation, shares of Series A Convertible Preferred Stock are convertible into Common Stock and no longer carry the special voting rights that were previously associated with such shares. The October 2024 amendment did not modify the economic conversion terms, conversion ratio, or anti-dilution provisions applicable to the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2013 Employee, Director, and Consultant Equity Incentive Plan as amended on October 20, 2020 (the “Plan”) was originally adopted by its Board and stockholders in April 2013. As of December 31, 2025 and 2024, a total of 4,150,000 and 3,750,000 shares of common stock, respectively, were reserved for issuance under the Plan. As of December 31, 2025 and 2024, 320,703 and 3,521 common shares, respectively, remain available for issuance under the Plan. </w:t>
      </w:r>
    </w:p>
    <w:p>
      <w:pPr>
        <w:pStyle w:val="TextBody"/>
        <w:bidi w:val="0"/>
        <w:spacing w:before="120" w:after="0"/>
        <w:jc w:val="left"/>
        <w:rPr>
          <w:rFonts w:ascii="Times New Roman" w:hAnsi="Times New Roman"/>
          <w:sz w:val="20"/>
        </w:rPr>
      </w:pPr>
      <w:r>
        <w:rPr>
          <w:rFonts w:ascii="Times New Roman" w:hAnsi="Times New Roman"/>
          <w:b/>
          <w:sz w:val="20"/>
        </w:rPr>
        <w:t>Stock Option Activity</w:t>
      </w:r>
      <w:r>
        <w:rPr>
          <w:rFonts w:ascii="Times New Roman" w:hAnsi="Times New Roman"/>
          <w:sz w:val="20"/>
        </w:rPr>
        <w:t xml:space="preserve">—Each stock option grant carries varying vesting schedules, which are generally four years. Each stock option shall terminate not more than 10 years from the date of the grant.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stock option activity under the Plan is presented in the table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0"/>
        <w:gridCol w:w="306"/>
        <w:gridCol w:w="60"/>
        <w:gridCol w:w="1017"/>
        <w:gridCol w:w="155"/>
        <w:gridCol w:w="273"/>
        <w:gridCol w:w="266"/>
        <w:gridCol w:w="832"/>
        <w:gridCol w:w="60"/>
        <w:gridCol w:w="306"/>
        <w:gridCol w:w="1747"/>
        <w:gridCol w:w="306"/>
        <w:gridCol w:w="140"/>
        <w:gridCol w:w="984"/>
        <w:gridCol w:w="66"/>
      </w:tblGrid>
      <w:tr>
        <w:trPr/>
        <w:tc>
          <w:tcPr>
            <w:tcW w:w="287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77" w:type="dxa"/>
            <w:gridSpan w:val="2"/>
            <w:tcBorders/>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098" w:type="dxa"/>
            <w:gridSpan w:val="2"/>
            <w:tcBorders/>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center"/>
              <w:rPr>
                <w:b/>
              </w:rPr>
            </w:pPr>
            <w:r>
              <w:rPr>
                <w:b/>
              </w:rPr>
              <w:t>Weighted-</w:t>
              <w:br/>
              <w:t>Average</w:t>
              <w:br/>
              <w:t>Remaining</w:t>
              <w:br/>
              <w:t>Contractual Life</w:t>
            </w:r>
          </w:p>
        </w:tc>
        <w:tc>
          <w:tcPr>
            <w:tcW w:w="306"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2024</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1,848,274</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5.42</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center"/>
              <w:rPr/>
            </w:pPr>
            <w:r>
              <w:rPr/>
              <w:t>7.6</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23,579</w:t>
            </w:r>
          </w:p>
        </w:tc>
        <w:tc>
          <w:tcPr>
            <w:tcW w:w="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1,608,679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(7,500</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(52,549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(48,175</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3,348,729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4.45</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center"/>
              <w:rPr/>
            </w:pPr>
            <w:r>
              <w:rPr/>
              <w:t>7.8</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907,571</w:t>
            </w:r>
          </w:p>
        </w:tc>
        <w:tc>
          <w:tcPr>
            <w:tcW w:w="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exercisable at December 31, 2024</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3,287,649</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4.47</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center"/>
              <w:rPr/>
            </w:pPr>
            <w:r>
              <w:rPr/>
              <w:t>7.8</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868,855</w:t>
            </w:r>
          </w:p>
        </w:tc>
        <w:tc>
          <w:tcPr>
            <w:tcW w:w="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2024</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3,348,729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4.45</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center"/>
              <w:rPr/>
            </w:pPr>
            <w:r>
              <w:rPr/>
              <w:t>7.8</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907,571</w:t>
            </w:r>
          </w:p>
        </w:tc>
        <w:tc>
          <w:tcPr>
            <w:tcW w:w="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2025</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3,348,729</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4.45</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center"/>
              <w:rPr/>
            </w:pPr>
            <w:r>
              <w:rPr/>
              <w:t>7.8</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907,571</w:t>
            </w:r>
          </w:p>
        </w:tc>
        <w:tc>
          <w:tcPr>
            <w:tcW w:w="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275,000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(46,773</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(145,407</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3,431,549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center"/>
              <w:rPr/>
            </w:pPr>
            <w:r>
              <w:rPr/>
              <w:t>6.3</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1,111,572</w:t>
            </w:r>
          </w:p>
        </w:tc>
        <w:tc>
          <w:tcPr>
            <w:tcW w:w="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exercisable at December 31, 2025</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3,174,823</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4.44</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center"/>
              <w:rPr/>
            </w:pPr>
            <w:r>
              <w:rPr/>
              <w:t>6.0</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883,162</w:t>
            </w:r>
          </w:p>
        </w:tc>
        <w:tc>
          <w:tcPr>
            <w:tcW w:w="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2025</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3,431,549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center"/>
              <w:rPr/>
            </w:pPr>
            <w:r>
              <w:rPr/>
              <w:t>6.3</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1,111,572</w:t>
            </w:r>
          </w:p>
        </w:tc>
        <w:tc>
          <w:tcPr>
            <w:tcW w:w="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received cash proceeds from the exercise of stock options of $0 and $3,000 during the years ended December 31, 2025 and 2024, respectively. The total intrinsic value (the amount by which the stock price exceeds the exercise price of the stock option on the date of exercise) of the stock options exercised during the years ended December 31, 2025 and 2024, was $0 and $23,250, respectively. The weighted-average grant date fair value of stock options granted during the years ended December 31, 2025 and 2024, was $2.78 and $3.00, respectively.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utilized the Black-Scholes option-pricing model for determining the estimated fair value of stock options. The Black-Scholes option-pricing model requires the use of subjective assumptions. The assumptions used to value stock option grants for the years ended December 31, 2025 and 2024,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85"/>
        <w:gridCol w:w="223"/>
        <w:gridCol w:w="1460"/>
        <w:gridCol w:w="223"/>
        <w:gridCol w:w="1464"/>
      </w:tblGrid>
      <w:tr>
        <w:trPr/>
        <w:tc>
          <w:tcPr>
            <w:tcW w:w="438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60" w:type="dxa"/>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223" w:type="dxa"/>
            <w:tcBorders/>
            <w:vAlign w:val="bottom"/>
          </w:tcPr>
          <w:p>
            <w:pPr>
              <w:pStyle w:val="TableContents"/>
              <w:bidi w:val="0"/>
              <w:spacing w:before="0" w:after="283"/>
              <w:jc w:val="left"/>
              <w:rPr/>
            </w:pPr>
            <w:r>
              <w:rPr/>
              <w:t>  </w:t>
            </w:r>
          </w:p>
        </w:tc>
        <w:tc>
          <w:tcPr>
            <w:tcW w:w="1464" w:type="dxa"/>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223"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$3.80</w:t>
            </w:r>
          </w:p>
        </w:tc>
        <w:tc>
          <w:tcPr>
            <w:tcW w:w="223"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$3.80 - $4.70</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23"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4.40% - 4.41%</w:t>
            </w:r>
          </w:p>
        </w:tc>
        <w:tc>
          <w:tcPr>
            <w:tcW w:w="223"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3.68% - 4.64%</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23"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— </w:t>
            </w:r>
          </w:p>
        </w:tc>
        <w:tc>
          <w:tcPr>
            <w:tcW w:w="223"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expected term</w:t>
            </w:r>
          </w:p>
        </w:tc>
        <w:tc>
          <w:tcPr>
            <w:tcW w:w="223"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6.0 years</w:t>
            </w:r>
          </w:p>
        </w:tc>
        <w:tc>
          <w:tcPr>
            <w:tcW w:w="223"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center"/>
              <w:rPr/>
            </w:pPr>
            <w:r>
              <w:rPr/>
              <w:t>5.2 years</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23"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75%</w:t>
            </w:r>
          </w:p>
        </w:tc>
        <w:tc>
          <w:tcPr>
            <w:tcW w:w="223"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center"/>
              <w:rPr/>
            </w:pPr>
            <w:r>
              <w:rPr/>
              <w:t>70% - 75%</w:t>
            </w:r>
          </w:p>
        </w:tc>
      </w:tr>
    </w:tbl>
    <w:p>
      <w:pPr>
        <w:pStyle w:val="TextBody"/>
        <w:bidi w:val="0"/>
        <w:spacing w:before="240" w:after="0"/>
        <w:jc w:val="left"/>
        <w:rPr>
          <w:rFonts w:ascii="Times New Roman" w:hAnsi="Times New Roman"/>
          <w:sz w:val="20"/>
        </w:rPr>
      </w:pPr>
      <w:r>
        <w:rPr>
          <w:rFonts w:ascii="Times New Roman" w:hAnsi="Times New Roman"/>
          <w:b/>
          <w:sz w:val="20"/>
        </w:rPr>
        <w:t>Risk-Free Interest Rate</w:t>
      </w:r>
      <w:r>
        <w:rPr>
          <w:rFonts w:ascii="Times New Roman" w:hAnsi="Times New Roman"/>
          <w:sz w:val="20"/>
        </w:rPr>
        <w:t xml:space="preserve">—The risk-free interest rate for periods within the expected term of the awards is based on the US Treasury yield curve in effect at the time of the grant. </w:t>
      </w:r>
    </w:p>
    <w:p>
      <w:pPr>
        <w:pStyle w:val="TextBody"/>
        <w:bidi w:val="0"/>
        <w:spacing w:before="120" w:after="0"/>
        <w:jc w:val="left"/>
        <w:rPr>
          <w:rFonts w:ascii="Times New Roman" w:hAnsi="Times New Roman"/>
          <w:sz w:val="20"/>
        </w:rPr>
      </w:pPr>
      <w:r>
        <w:rPr>
          <w:rFonts w:ascii="Times New Roman" w:hAnsi="Times New Roman"/>
          <w:b/>
          <w:sz w:val="20"/>
        </w:rPr>
        <w:t>Expected Dividend Yield</w:t>
      </w:r>
      <w:r>
        <w:rPr>
          <w:rFonts w:ascii="Times New Roman" w:hAnsi="Times New Roman"/>
          <w:sz w:val="20"/>
        </w:rPr>
        <w:t xml:space="preserve">—The Company has never declared or paid any cash dividends and does not expect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b/>
          <w:sz w:val="20"/>
        </w:rPr>
        <w:t>Expected Term</w:t>
      </w:r>
      <w:r>
        <w:rPr>
          <w:rFonts w:ascii="Times New Roman" w:hAnsi="Times New Roman"/>
          <w:sz w:val="20"/>
        </w:rPr>
        <w:t xml:space="preserve">—The Company calculates the expected term using the “simplified” method, which is the simple average of the vesting period and the contractual term. The simplified method is applied as the Company does not have sufficient historical data to provide a reasonable basis for an estimate of the expected term. </w:t>
      </w:r>
    </w:p>
    <w:p>
      <w:pPr>
        <w:pStyle w:val="TextBody"/>
        <w:bidi w:val="0"/>
        <w:spacing w:before="120" w:after="0"/>
        <w:jc w:val="left"/>
        <w:rPr>
          <w:rFonts w:ascii="Times New Roman" w:hAnsi="Times New Roman"/>
          <w:sz w:val="20"/>
        </w:rPr>
      </w:pPr>
      <w:r>
        <w:rPr>
          <w:rFonts w:ascii="Times New Roman" w:hAnsi="Times New Roman"/>
          <w:b/>
          <w:sz w:val="20"/>
        </w:rPr>
        <w:t>Expected Volatility</w:t>
      </w:r>
      <w:r>
        <w:rPr>
          <w:rFonts w:ascii="Times New Roman" w:hAnsi="Times New Roman"/>
          <w:sz w:val="20"/>
        </w:rPr>
        <w:t xml:space="preserve">—As the Company has been privately held since inception, there is no specific historical or implied volatility information available. Accordingly, the Company estimates the expected volatility on the historical stock volatility of a group of similar companies that are publicly traded over a period equivalent to the expected term of the stock options. </w:t>
      </w:r>
    </w:p>
    <w:p>
      <w:pPr>
        <w:pStyle w:val="TextBody"/>
        <w:bidi w:val="0"/>
        <w:spacing w:before="120" w:after="0"/>
        <w:jc w:val="left"/>
        <w:rPr>
          <w:rFonts w:ascii="Times New Roman" w:hAnsi="Times New Roman"/>
          <w:sz w:val="20"/>
        </w:rPr>
      </w:pPr>
      <w:r>
        <w:rPr>
          <w:rFonts w:ascii="Times New Roman" w:hAnsi="Times New Roman"/>
          <w:b/>
          <w:sz w:val="20"/>
        </w:rPr>
        <w:t>Exercise Price</w:t>
      </w:r>
      <w:r>
        <w:rPr>
          <w:rFonts w:ascii="Times New Roman" w:hAnsi="Times New Roman"/>
          <w:sz w:val="20"/>
        </w:rPr>
        <w:t xml:space="preserve">—The exercise price is taken directly from the grant notice issued to employees and nonemployees.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stock-based compensation expense is allocated to the following operating expense categories on the statements of operations and comprehensive loss for the years ended December 31, 2025 and 2024,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2"/>
        <w:gridCol w:w="311"/>
        <w:gridCol w:w="211"/>
        <w:gridCol w:w="1226"/>
        <w:gridCol w:w="60"/>
        <w:gridCol w:w="311"/>
        <w:gridCol w:w="184"/>
        <w:gridCol w:w="1296"/>
        <w:gridCol w:w="64"/>
      </w:tblGrid>
      <w:tr>
        <w:trPr/>
        <w:tc>
          <w:tcPr>
            <w:tcW w:w="4092"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9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80" w:type="dxa"/>
            <w:gridSpan w:val="2"/>
            <w:tcBorders/>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4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120,451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2,844,357</w:t>
            </w:r>
          </w:p>
        </w:tc>
        <w:tc>
          <w:tcPr>
            <w:tcW w:w="64" w:type="dxa"/>
            <w:tcBorders/>
            <w:shd w:fill="CCEEFF" w:val="clear"/>
            <w:vAlign w:val="bottom"/>
          </w:tcPr>
          <w:p>
            <w:pPr>
              <w:pStyle w:val="TableContents"/>
              <w:bidi w:val="0"/>
              <w:spacing w:before="0" w:after="283"/>
              <w:jc w:val="left"/>
              <w:rPr/>
            </w:pPr>
            <w:r>
              <w:rPr/>
              <w:t> </w:t>
            </w:r>
          </w:p>
        </w:tc>
      </w:tr>
      <w:tr>
        <w:trPr/>
        <w:tc>
          <w:tcPr>
            <w:tcW w:w="409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84,098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3,368,553</w:t>
            </w:r>
          </w:p>
        </w:tc>
        <w:tc>
          <w:tcPr>
            <w:tcW w:w="64" w:type="dxa"/>
            <w:tcBorders/>
            <w:vAlign w:val="bottom"/>
          </w:tcPr>
          <w:p>
            <w:pPr>
              <w:pStyle w:val="TableContents"/>
              <w:bidi w:val="0"/>
              <w:spacing w:before="0" w:after="283"/>
              <w:jc w:val="left"/>
              <w:rPr/>
            </w:pPr>
            <w:r>
              <w:rPr/>
              <w:t> </w:t>
            </w:r>
          </w:p>
        </w:tc>
      </w:tr>
      <w:tr>
        <w:trPr/>
        <w:tc>
          <w:tcPr>
            <w:tcW w:w="409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1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204,549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6,212,910</w:t>
            </w:r>
          </w:p>
        </w:tc>
        <w:tc>
          <w:tcPr>
            <w:tcW w:w="64" w:type="dxa"/>
            <w:tcBorders/>
            <w:shd w:fill="CCEEFF" w:val="clear"/>
            <w:vAlign w:val="bottom"/>
          </w:tcPr>
          <w:p>
            <w:pPr>
              <w:pStyle w:val="TableContents"/>
              <w:bidi w:val="0"/>
              <w:spacing w:before="0" w:after="283"/>
              <w:jc w:val="left"/>
              <w:rPr/>
            </w:pPr>
            <w:r>
              <w:rPr/>
              <w:t> </w:t>
            </w:r>
          </w:p>
        </w:tc>
      </w:tr>
      <w:tr>
        <w:trPr/>
        <w:tc>
          <w:tcPr>
            <w:tcW w:w="409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related tax benefits of the stock-based compensation expense have been recognized and no related tax benefits have been realized from the exercise of stock options due to the Company’s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Total unrecognized stock-based compensation expense as of December 31, 2025 and 2024, was $579,960 and $147,866, respectively, which will be recognized over the remaining weighted-average vesting period of 2.99 years and 3.01 years,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not recorded federal or state income taxes during the years ended December 31, 2025 and 2024, as the Company incurred operating losses and maintains a full valuation allowance against its net deferred tax assets.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components of the Company’s deferred tax assets (liabilities) as of December 31, 2025 and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13"/>
        <w:gridCol w:w="180"/>
        <w:gridCol w:w="60"/>
        <w:gridCol w:w="1298"/>
        <w:gridCol w:w="155"/>
        <w:gridCol w:w="131"/>
        <w:gridCol w:w="60"/>
        <w:gridCol w:w="1298"/>
        <w:gridCol w:w="160"/>
      </w:tblGrid>
      <w:tr>
        <w:trPr/>
        <w:tc>
          <w:tcPr>
            <w:tcW w:w="4413"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0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413"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25,968,870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24,342,037</w:t>
            </w:r>
          </w:p>
        </w:tc>
        <w:tc>
          <w:tcPr>
            <w:tcW w:w="160" w:type="dxa"/>
            <w:tcBorders/>
            <w:shd w:fill="CCEEFF" w:val="clear"/>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Tax credit carryforwards</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2,938,454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2,912,251</w:t>
            </w:r>
          </w:p>
        </w:tc>
        <w:tc>
          <w:tcPr>
            <w:tcW w:w="160" w:type="dxa"/>
            <w:tcBorders/>
            <w:vAlign w:val="bottom"/>
          </w:tcPr>
          <w:p>
            <w:pPr>
              <w:pStyle w:val="TableContents"/>
              <w:bidi w:val="0"/>
              <w:spacing w:before="0" w:after="283"/>
              <w:jc w:val="left"/>
              <w:rPr/>
            </w:pPr>
            <w:r>
              <w:rPr/>
              <w:t> </w:t>
            </w:r>
          </w:p>
        </w:tc>
      </w:tr>
      <w:tr>
        <w:trPr/>
        <w:tc>
          <w:tcPr>
            <w:tcW w:w="4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R&amp;D</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3,726,022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3,700,537</w:t>
            </w:r>
          </w:p>
        </w:tc>
        <w:tc>
          <w:tcPr>
            <w:tcW w:w="160" w:type="dxa"/>
            <w:tcBorders/>
            <w:shd w:fill="CCEEFF" w:val="clear"/>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stock-based compensation</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2,266,232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2,361,328</w:t>
            </w:r>
          </w:p>
        </w:tc>
        <w:tc>
          <w:tcPr>
            <w:tcW w:w="160" w:type="dxa"/>
            <w:tcBorders/>
            <w:vAlign w:val="bottom"/>
          </w:tcPr>
          <w:p>
            <w:pPr>
              <w:pStyle w:val="TableContents"/>
              <w:bidi w:val="0"/>
              <w:spacing w:before="0" w:after="283"/>
              <w:jc w:val="left"/>
              <w:rPr/>
            </w:pPr>
            <w:r>
              <w:rPr/>
              <w:t> </w:t>
            </w:r>
          </w:p>
        </w:tc>
      </w:tr>
      <w:tr>
        <w:trPr/>
        <w:tc>
          <w:tcPr>
            <w:tcW w:w="4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131,464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186,357</w:t>
            </w:r>
          </w:p>
        </w:tc>
        <w:tc>
          <w:tcPr>
            <w:tcW w:w="160" w:type="dxa"/>
            <w:tcBorders/>
            <w:shd w:fill="CCEEFF" w:val="clear"/>
            <w:vAlign w:val="bottom"/>
          </w:tcPr>
          <w:p>
            <w:pPr>
              <w:pStyle w:val="TableContents"/>
              <w:bidi w:val="0"/>
              <w:spacing w:before="0" w:after="283"/>
              <w:jc w:val="left"/>
              <w:rPr/>
            </w:pPr>
            <w:r>
              <w:rPr/>
              <w:t> </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35,031,042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33,502,510</w:t>
            </w:r>
          </w:p>
        </w:tc>
        <w:tc>
          <w:tcPr>
            <w:tcW w:w="160" w:type="dxa"/>
            <w:tcBorders/>
            <w:vAlign w:val="bottom"/>
          </w:tcPr>
          <w:p>
            <w:pPr>
              <w:pStyle w:val="TableContents"/>
              <w:bidi w:val="0"/>
              <w:spacing w:before="0" w:after="283"/>
              <w:jc w:val="left"/>
              <w:rPr/>
            </w:pPr>
            <w:r>
              <w:rPr/>
              <w:t> </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(35,031,042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(33,502,510</w:t>
            </w:r>
          </w:p>
        </w:tc>
        <w:tc>
          <w:tcPr>
            <w:tcW w:w="160" w:type="dxa"/>
            <w:tcBorders/>
            <w:shd w:fill="CCEEFF" w:val="clear"/>
            <w:vAlign w:val="bottom"/>
          </w:tcPr>
          <w:p>
            <w:pPr>
              <w:pStyle w:val="TableContents"/>
              <w:bidi w:val="0"/>
              <w:spacing w:before="0" w:after="283"/>
              <w:jc w:val="left"/>
              <w:rPr/>
            </w:pPr>
            <w:r>
              <w:rPr/>
              <w:t>) </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(liability)</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income tax at the federal statutory tax rate to the Company’s effective income tax rate for the years-ended December 31, 2025 and 2024,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55"/>
        <w:gridCol w:w="210"/>
        <w:gridCol w:w="172"/>
        <w:gridCol w:w="1482"/>
        <w:gridCol w:w="190"/>
        <w:gridCol w:w="210"/>
        <w:gridCol w:w="82"/>
        <w:gridCol w:w="738"/>
        <w:gridCol w:w="320"/>
        <w:gridCol w:w="129"/>
        <w:gridCol w:w="172"/>
        <w:gridCol w:w="1482"/>
        <w:gridCol w:w="190"/>
        <w:gridCol w:w="210"/>
        <w:gridCol w:w="81"/>
        <w:gridCol w:w="738"/>
        <w:gridCol w:w="327"/>
      </w:tblGrid>
      <w:tr>
        <w:trPr/>
        <w:tc>
          <w:tcPr>
            <w:tcW w:w="26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6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27" w:type="dxa"/>
            <w:tcBorders/>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874" w:type="dxa"/>
            <w:gridSpan w:val="6"/>
            <w:tcBorders/>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873" w:type="dxa"/>
            <w:gridSpan w:val="6"/>
            <w:tcBorders/>
            <w:vAlign w:val="bottom"/>
          </w:tcPr>
          <w:p>
            <w:pPr>
              <w:pStyle w:val="TableContents"/>
              <w:bidi w:val="0"/>
              <w:spacing w:before="0" w:after="283"/>
              <w:jc w:val="center"/>
              <w:rPr>
                <w:b/>
              </w:rPr>
            </w:pPr>
            <w:r>
              <w:rPr>
                <w:b/>
              </w:rPr>
              <w:t>2024</w:t>
            </w:r>
          </w:p>
        </w:tc>
        <w:tc>
          <w:tcPr>
            <w:tcW w:w="327" w:type="dxa"/>
            <w:tcBorders/>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327" w:type="dxa"/>
            <w:tcBorders/>
            <w:vAlign w:val="bottom"/>
          </w:tcPr>
          <w:p>
            <w:pPr>
              <w:pStyle w:val="TableContents"/>
              <w:bidi w:val="0"/>
              <w:spacing w:before="0" w:after="283"/>
              <w:jc w:val="left"/>
              <w:rPr/>
            </w:pPr>
            <w:r>
              <w:rPr/>
              <w:t> </w:t>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Income (Loss)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(11,291,213</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(10,672,196</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(2,371,155</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21.0</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(2,241,161</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21.0</w:t>
            </w:r>
          </w:p>
        </w:tc>
        <w:tc>
          <w:tcPr>
            <w:tcW w:w="327" w:type="dxa"/>
            <w:tcBorders/>
            <w:vAlign w:val="bottom"/>
          </w:tcPr>
          <w:p>
            <w:pPr>
              <w:pStyle w:val="TableContents"/>
              <w:bidi w:val="0"/>
              <w:spacing w:before="0" w:after="283"/>
              <w:jc w:val="left"/>
              <w:rPr/>
            </w:pPr>
            <w:r>
              <w:rPr/>
              <w:t>% </w:t>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 Income Taxes, net of Fed benefit</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0.0</w:t>
            </w:r>
          </w:p>
        </w:tc>
        <w:tc>
          <w:tcPr>
            <w:tcW w:w="3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0.0</w:t>
            </w:r>
          </w:p>
        </w:tc>
        <w:tc>
          <w:tcPr>
            <w:tcW w:w="327" w:type="dxa"/>
            <w:tcBorders/>
            <w:shd w:fill="CCEEFF" w:val="clear"/>
            <w:vAlign w:val="bottom"/>
          </w:tcPr>
          <w:p>
            <w:pPr>
              <w:pStyle w:val="TableContents"/>
              <w:bidi w:val="0"/>
              <w:spacing w:before="0" w:after="283"/>
              <w:jc w:val="left"/>
              <w:rPr/>
            </w:pPr>
            <w:r>
              <w:rPr/>
              <w:t>% </w:t>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State Deferred Taxes</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(356,784</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3.2</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(609,929</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5.7</w:t>
            </w:r>
          </w:p>
        </w:tc>
        <w:tc>
          <w:tcPr>
            <w:tcW w:w="327" w:type="dxa"/>
            <w:tcBorders/>
            <w:vAlign w:val="bottom"/>
          </w:tcPr>
          <w:p>
            <w:pPr>
              <w:pStyle w:val="TableContents"/>
              <w:bidi w:val="0"/>
              <w:spacing w:before="0" w:after="283"/>
              <w:jc w:val="left"/>
              <w:rPr/>
            </w:pPr>
            <w:r>
              <w:rPr/>
              <w:t>% </w:t>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356,784</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609,929</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-5.7</w:t>
            </w:r>
          </w:p>
        </w:tc>
        <w:tc>
          <w:tcPr>
            <w:tcW w:w="327" w:type="dxa"/>
            <w:tcBorders/>
            <w:shd w:fill="CCEEFF" w:val="clear"/>
            <w:vAlign w:val="bottom"/>
          </w:tcPr>
          <w:p>
            <w:pPr>
              <w:pStyle w:val="TableContents"/>
              <w:bidi w:val="0"/>
              <w:spacing w:before="0" w:after="283"/>
              <w:jc w:val="left"/>
              <w:rPr/>
            </w:pPr>
            <w:r>
              <w:rPr/>
              <w:t>% </w:t>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482"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R&amp;D Credits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0.0</w:t>
            </w:r>
          </w:p>
        </w:tc>
        <w:tc>
          <w:tcPr>
            <w:tcW w:w="3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223,085</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-2.1</w:t>
            </w:r>
          </w:p>
        </w:tc>
        <w:tc>
          <w:tcPr>
            <w:tcW w:w="327" w:type="dxa"/>
            <w:tcBorders/>
            <w:shd w:fill="CCEEFF" w:val="clear"/>
            <w:vAlign w:val="bottom"/>
          </w:tcPr>
          <w:p>
            <w:pPr>
              <w:pStyle w:val="TableContents"/>
              <w:bidi w:val="0"/>
              <w:spacing w:before="0" w:after="283"/>
              <w:jc w:val="left"/>
              <w:rPr/>
            </w:pPr>
            <w:r>
              <w:rPr/>
              <w:t>% </w:t>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1,171,748</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-10.4</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1,846,542</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-17.4</w:t>
            </w:r>
          </w:p>
        </w:tc>
        <w:tc>
          <w:tcPr>
            <w:tcW w:w="327" w:type="dxa"/>
            <w:tcBorders/>
            <w:vAlign w:val="bottom"/>
          </w:tcPr>
          <w:p>
            <w:pPr>
              <w:pStyle w:val="TableContents"/>
              <w:bidi w:val="0"/>
              <w:spacing w:before="0" w:after="283"/>
              <w:jc w:val="left"/>
              <w:rPr/>
            </w:pPr>
            <w:r>
              <w:rPr/>
              <w:t>% </w:t>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7" w:type="dxa"/>
            <w:tcBorders/>
            <w:shd w:fill="CCEEFF" w:val="clear"/>
            <w:vAlign w:val="bottom"/>
          </w:tcPr>
          <w:p>
            <w:pPr>
              <w:pStyle w:val="TableContents"/>
              <w:bidi w:val="0"/>
              <w:spacing w:before="0" w:after="283"/>
              <w:jc w:val="left"/>
              <w:rPr>
                <w:sz w:val="4"/>
                <w:szCs w:val="4"/>
              </w:rPr>
            </w:pPr>
            <w:r>
              <w:rPr>
                <w:sz w:val="4"/>
                <w:szCs w:val="4"/>
              </w:rPr>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117,125</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69,049</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-0.6</w:t>
            </w:r>
          </w:p>
        </w:tc>
        <w:tc>
          <w:tcPr>
            <w:tcW w:w="327" w:type="dxa"/>
            <w:tcBorders/>
            <w:vAlign w:val="bottom"/>
          </w:tcPr>
          <w:p>
            <w:pPr>
              <w:pStyle w:val="TableContents"/>
              <w:bidi w:val="0"/>
              <w:spacing w:before="0" w:after="283"/>
              <w:jc w:val="left"/>
              <w:rPr/>
            </w:pPr>
            <w:r>
              <w:rPr/>
              <w:t>% </w:t>
            </w:r>
          </w:p>
        </w:tc>
      </w:tr>
      <w:tr>
        <w:trPr/>
        <w:tc>
          <w:tcPr>
            <w:tcW w:w="2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FV of Warrant Liability</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1,082,292</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-9.6</w:t>
            </w:r>
          </w:p>
        </w:tc>
        <w:tc>
          <w:tcPr>
            <w:tcW w:w="3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121,046</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-1.1</w:t>
            </w:r>
          </w:p>
        </w:tc>
        <w:tc>
          <w:tcPr>
            <w:tcW w:w="327" w:type="dxa"/>
            <w:tcBorders/>
            <w:shd w:fill="CCEEFF" w:val="clear"/>
            <w:vAlign w:val="bottom"/>
          </w:tcPr>
          <w:p>
            <w:pPr>
              <w:pStyle w:val="TableContents"/>
              <w:bidi w:val="0"/>
              <w:spacing w:before="0" w:after="283"/>
              <w:jc w:val="left"/>
              <w:rPr/>
            </w:pPr>
            <w:r>
              <w:rPr/>
              <w:t>% </w:t>
            </w:r>
          </w:p>
        </w:tc>
      </w:tr>
      <w:tr>
        <w:trPr/>
        <w:tc>
          <w:tcPr>
            <w:tcW w:w="265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(10</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0.0</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(18,561</w:t>
            </w:r>
          </w:p>
        </w:tc>
        <w:tc>
          <w:tcPr>
            <w:tcW w:w="1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0.2</w:t>
            </w:r>
          </w:p>
        </w:tc>
        <w:tc>
          <w:tcPr>
            <w:tcW w:w="327" w:type="dxa"/>
            <w:tcBorders/>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26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1482"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0.0</w:t>
            </w:r>
          </w:p>
        </w:tc>
        <w:tc>
          <w:tcPr>
            <w:tcW w:w="320"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1482"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0.0</w:t>
            </w:r>
          </w:p>
        </w:tc>
        <w:tc>
          <w:tcPr>
            <w:tcW w:w="327" w:type="dxa"/>
            <w:tcBorders/>
            <w:shd w:fill="CCEEFF" w:val="clear"/>
            <w:vAlign w:val="bottom"/>
          </w:tcPr>
          <w:p>
            <w:pPr>
              <w:pStyle w:val="TableContents"/>
              <w:bidi w:val="0"/>
              <w:spacing w:before="0" w:after="283"/>
              <w:jc w:val="left"/>
              <w:rPr>
                <w:b/>
              </w:rPr>
            </w:pPr>
            <w:r>
              <w:rPr>
                <w:b/>
              </w:rPr>
              <w:t>% </w:t>
            </w:r>
          </w:p>
        </w:tc>
      </w:tr>
      <w:tr>
        <w:trPr/>
        <w:tc>
          <w:tcPr>
            <w:tcW w:w="2655"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effective tax rate for December 31, 2025 and 2024, differs from the federal statutory tax rate of 21% mainly due to the effect of deferred state income tax benefits resulting from state net operating loss carryforwards and the tax benefits related to research and development tax credits. These benefits to the effective tax rate are fully offset by the increase in the Company’s valuation allowance from the prior year. </w:t>
      </w:r>
    </w:p>
    <w:p>
      <w:pPr>
        <w:pStyle w:val="TextBody"/>
        <w:bidi w:val="0"/>
        <w:spacing w:before="120" w:after="0"/>
        <w:jc w:val="left"/>
        <w:rPr>
          <w:rFonts w:ascii="Times New Roman" w:hAnsi="Times New Roman"/>
          <w:sz w:val="20"/>
        </w:rPr>
      </w:pPr>
      <w:r>
        <w:rPr>
          <w:rFonts w:ascii="Times New Roman" w:hAnsi="Times New Roman"/>
          <w:sz w:val="20"/>
        </w:rPr>
        <w:t xml:space="preserve">The future realization of the tax benefits from existing temporary differences and tax attributes ultimately depends on the existence of sufficient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increased its valuation allowance by $1,528,532 and $2,456,471 as of December 31, 2025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the following tax net operating loss carryforwards available to reduce future federal and Connecticut taxable income, and tax credit carryforwards available to offset future federal and Connecticut income taxes: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74"/>
        <w:gridCol w:w="164"/>
        <w:gridCol w:w="60"/>
        <w:gridCol w:w="1102"/>
        <w:gridCol w:w="60"/>
        <w:gridCol w:w="164"/>
        <w:gridCol w:w="60"/>
        <w:gridCol w:w="1193"/>
        <w:gridCol w:w="62"/>
      </w:tblGrid>
      <w:tr>
        <w:trPr/>
        <w:tc>
          <w:tcPr>
            <w:tcW w:w="407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3" w:type="dxa"/>
            <w:gridSpan w:val="2"/>
            <w:tcBorders/>
            <w:vAlign w:val="bottom"/>
          </w:tcPr>
          <w:p>
            <w:pPr>
              <w:pStyle w:val="TableContents"/>
              <w:bidi w:val="0"/>
              <w:spacing w:before="0" w:after="283"/>
              <w:jc w:val="center"/>
              <w:rPr>
                <w:b/>
              </w:rPr>
            </w:pPr>
            <w:r>
              <w:rPr>
                <w:b/>
              </w:rPr>
              <w:t>Expiration</w:t>
            </w:r>
          </w:p>
        </w:tc>
        <w:tc>
          <w:tcPr>
            <w:tcW w:w="62" w:type="dxa"/>
            <w:tcBorders/>
            <w:vAlign w:val="bottom"/>
          </w:tcPr>
          <w:p>
            <w:pPr>
              <w:pStyle w:val="TableContents"/>
              <w:bidi w:val="0"/>
              <w:spacing w:before="0" w:after="283"/>
              <w:jc w:val="left"/>
              <w:rPr/>
            </w:pPr>
            <w:r>
              <w:rPr/>
              <w:t> </w:t>
            </w:r>
          </w:p>
        </w:tc>
      </w:tr>
      <w:tr>
        <w:trPr/>
        <w:tc>
          <w:tcPr>
            <w:tcW w:w="4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net operating loss carryforwards: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74" w:type="dxa"/>
            <w:tcBorders/>
          </w:tcPr>
          <w:p>
            <w:pPr>
              <w:pStyle w:val="TableContents"/>
              <w:bidi w:val="0"/>
              <w:spacing w:before="0" w:after="0"/>
              <w:jc w:val="left"/>
              <w:rPr>
                <w:rFonts w:ascii="Times New Roman" w:hAnsi="Times New Roman"/>
                <w:sz w:val="20"/>
              </w:rPr>
            </w:pPr>
            <w:r>
              <w:rPr>
                <w:rFonts w:ascii="Times New Roman" w:hAnsi="Times New Roman"/>
                <w:sz w:val="20"/>
              </w:rPr>
              <w:t>Federal (pre-2018 NOLs)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34,309,101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center"/>
              <w:rPr/>
            </w:pPr>
            <w:r>
              <w:rPr/>
              <w:t>2033 - 2037</w:t>
            </w:r>
          </w:p>
        </w:tc>
        <w:tc>
          <w:tcPr>
            <w:tcW w:w="62" w:type="dxa"/>
            <w:tcBorders/>
            <w:vAlign w:val="bottom"/>
          </w:tcPr>
          <w:p>
            <w:pPr>
              <w:pStyle w:val="TableContents"/>
              <w:bidi w:val="0"/>
              <w:spacing w:before="0" w:after="283"/>
              <w:jc w:val="left"/>
              <w:rPr/>
            </w:pPr>
            <w:r>
              <w:rPr/>
              <w:t> </w:t>
            </w:r>
          </w:p>
        </w:tc>
      </w:tr>
      <w:tr>
        <w:trPr/>
        <w:tc>
          <w:tcPr>
            <w:tcW w:w="4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(post-2017 NOLs)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62,188,794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center"/>
              <w:rPr/>
            </w:pPr>
            <w:r>
              <w:rPr/>
              <w:t>N/A</w:t>
            </w:r>
          </w:p>
        </w:tc>
        <w:tc>
          <w:tcPr>
            <w:tcW w:w="62" w:type="dxa"/>
            <w:tcBorders/>
            <w:shd w:fill="CCEEFF" w:val="clear"/>
            <w:vAlign w:val="bottom"/>
          </w:tcPr>
          <w:p>
            <w:pPr>
              <w:pStyle w:val="TableContents"/>
              <w:bidi w:val="0"/>
              <w:spacing w:before="0" w:after="283"/>
              <w:jc w:val="left"/>
              <w:rPr/>
            </w:pPr>
            <w:r>
              <w:rPr/>
              <w:t> </w:t>
            </w:r>
          </w:p>
        </w:tc>
      </w:tr>
      <w:tr>
        <w:trPr/>
        <w:tc>
          <w:tcPr>
            <w:tcW w:w="4074" w:type="dxa"/>
            <w:tcBorders/>
          </w:tcPr>
          <w:p>
            <w:pPr>
              <w:pStyle w:val="TableContents"/>
              <w:bidi w:val="0"/>
              <w:spacing w:before="0" w:after="0"/>
              <w:jc w:val="left"/>
              <w:rPr>
                <w:rFonts w:ascii="Times New Roman" w:hAnsi="Times New Roman"/>
                <w:sz w:val="20"/>
              </w:rPr>
            </w:pPr>
            <w:r>
              <w:rPr>
                <w:rFonts w:ascii="Times New Roman" w:hAnsi="Times New Roman"/>
                <w:sz w:val="20"/>
              </w:rPr>
              <w:t>Connecticut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96,275,309</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center"/>
              <w:rPr/>
            </w:pPr>
            <w:r>
              <w:rPr/>
              <w:t>2033 - 2045</w:t>
            </w:r>
          </w:p>
        </w:tc>
        <w:tc>
          <w:tcPr>
            <w:tcW w:w="62" w:type="dxa"/>
            <w:tcBorders/>
            <w:vAlign w:val="bottom"/>
          </w:tcPr>
          <w:p>
            <w:pPr>
              <w:pStyle w:val="TableContents"/>
              <w:bidi w:val="0"/>
              <w:spacing w:before="0" w:after="283"/>
              <w:jc w:val="left"/>
              <w:rPr/>
            </w:pPr>
            <w:r>
              <w:rPr/>
              <w:t> </w:t>
            </w:r>
          </w:p>
        </w:tc>
      </w:tr>
      <w:tr>
        <w:trPr/>
        <w:tc>
          <w:tcPr>
            <w:tcW w:w="4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 carryforwards: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74"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research and development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2,315,862</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center"/>
              <w:rPr/>
            </w:pPr>
            <w:r>
              <w:rPr/>
              <w:t>2033 - 2041</w:t>
            </w:r>
          </w:p>
        </w:tc>
        <w:tc>
          <w:tcPr>
            <w:tcW w:w="62" w:type="dxa"/>
            <w:tcBorders/>
            <w:vAlign w:val="bottom"/>
          </w:tcPr>
          <w:p>
            <w:pPr>
              <w:pStyle w:val="TableContents"/>
              <w:bidi w:val="0"/>
              <w:spacing w:before="0" w:after="283"/>
              <w:jc w:val="left"/>
              <w:rPr/>
            </w:pPr>
            <w:r>
              <w:rPr/>
              <w:t> </w:t>
            </w:r>
          </w:p>
        </w:tc>
      </w:tr>
      <w:tr>
        <w:trPr/>
        <w:tc>
          <w:tcPr>
            <w:tcW w:w="4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Connecticut research and development</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785,360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center"/>
              <w:rPr/>
            </w:pPr>
            <w:r>
              <w:rPr/>
              <w:t>2032 - 2039</w:t>
            </w:r>
          </w:p>
        </w:tc>
        <w:tc>
          <w:tcPr>
            <w:tcW w:w="62" w:type="dxa"/>
            <w:tcBorders/>
            <w:shd w:fill="CCEEFF" w:val="clear"/>
            <w:vAlign w:val="bottom"/>
          </w:tcPr>
          <w:p>
            <w:pPr>
              <w:pStyle w:val="TableContents"/>
              <w:bidi w:val="0"/>
              <w:spacing w:before="0" w:after="283"/>
              <w:jc w:val="left"/>
              <w:rPr/>
            </w:pPr>
            <w:r>
              <w:rPr/>
              <w:t> </w:t>
            </w:r>
          </w:p>
        </w:tc>
      </w:tr>
      <w:tr>
        <w:trPr/>
        <w:tc>
          <w:tcPr>
            <w:tcW w:w="4074" w:type="dxa"/>
            <w:tcBorders/>
          </w:tcPr>
          <w:p>
            <w:pPr>
              <w:pStyle w:val="TableContents"/>
              <w:bidi w:val="0"/>
              <w:spacing w:before="0" w:after="0"/>
              <w:jc w:val="left"/>
              <w:rPr>
                <w:rFonts w:ascii="Times New Roman" w:hAnsi="Times New Roman"/>
                <w:sz w:val="20"/>
              </w:rPr>
            </w:pPr>
            <w:r>
              <w:rPr>
                <w:rFonts w:ascii="Times New Roman" w:hAnsi="Times New Roman"/>
                <w:sz w:val="20"/>
              </w:rPr>
              <w:t>Connecticut other</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2,731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center"/>
              <w:rPr/>
            </w:pPr>
            <w:r>
              <w:rPr/>
              <w:t>2026 - 2027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future realization of the Company’s net operating loss carryforwards and other tax attributes may also be limited by the change in ownership rules under the U.S.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an ownership change has occurred or whether there have been multiple ownership changes.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in the period in which new information is available. The calculation and assessment of the Company’s income tax exposures generally involves the uncertainties in the application of complex tax laws and regulations for federal, state,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files income tax returns in the US where it is subject to tax examination by local tax authorities. The Company is not currently under examination for income taxes and is not aware of any issues under review that could result in significant payments, accruals or material deviation from its tax positions. To the extent the Company has tax attribute carryforwards, the tax years in which the attribute was generated may still be adjusted upon examination by local tax authorities to the extent utilized in a future period. The statute of limitations for the Company has expired for tax years prior to 2022.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 Company did not have any unrecognized tax benefits. To the extent penalties and interest would be assessed on any underpayment of income tax, the Company’s policy is that such amounts would be accrued and classified as a component of income tax in the financial statements. To date, the Company has not recorded any such interest or penalties.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as a result of legislation in the State of Connecticut, companies have the opportunity to exchange certain research and development tax credit carryforwards for a cash payment of 90% of the research and development tax credit for the year ended December 31, 2025, and 65% of the research and development tax credit for the year ended December 31, 2024.. The research and development expenses that qualify for Connecticut credits are limited to those costs incurred within Connecticut. The Company has elected to participate in the exchange program and, as a result, has recognized net benefits of $15,120 and $12,822 for the years ended December 31, 2025 and 2024, respectively, which are included in research and development expenses in the accompanying statements of operations and comprehensive loss. As of December 31, 2025 and 2024, the Company has recorded $29,907 and $30,671, respectively, of research and development tax credit receivables in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2025 and 2024, there were no income taxes paid (net of refunds received). </w:t>
      </w:r>
    </w:p>
    <w:p>
      <w:pPr>
        <w:pStyle w:val="TextBody"/>
        <w:bidi w:val="0"/>
        <w:spacing w:before="120" w:after="0"/>
        <w:jc w:val="left"/>
        <w:rPr>
          <w:rFonts w:ascii="Times New Roman" w:hAnsi="Times New Roman"/>
          <w:sz w:val="20"/>
        </w:rPr>
      </w:pPr>
      <w:r>
        <w:rPr>
          <w:rFonts w:ascii="Times New Roman" w:hAnsi="Times New Roman"/>
          <w:sz w:val="20"/>
        </w:rPr>
        <w:t xml:space="preserve">On July 4, 2025, the One Big Beautiful Bill Act was enacted into law with changes to U.S. tax law that will be applicable to the Company beginning in 2025. These changes include provisions allowing accelerated tax deductions for qualified property and research expenditures.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material related-party transactions were identified during the year ended December 31, 2025. During the year ended December 31, 2024, the Company entered into transactions with entities affiliated with certain members of its Board of Directors through those directors’ leadership positions and family affiliations. These transactions were conducted in the ordinary course of business and primarily consisted of advisory, administrative and office facility services provided to the Company. During the year ended December 31, 2024, the Company incurred $126,967 of advisory service fees payable to an entity affiliated with a member of the Board of Directors. In addition, the Company incurred $103,181 of administrative service fees and $31,178 of rent expense payable to entities affiliated with another member of the Board of Directors and members of such director’s immediate family. While certain of these transactions were not individually material, they have been presented on an aggregate basis as related-party transactions. As of December 31, 2024, amounts due to related parties were approximately $10,000 and are included within accounts payable in the accompanying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401(k) defined contribution plan covering all eligible US employees. Contributions to the 401(k) plan are discretionary. The Company did not make any matching contributions to the 401(k) plan for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any outstanding or ongoing litigation and legal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preparation of the financial statements, the Company evaluated events subsequent to the balance sheet date of December 31, 2025 through July 29, 2026, the date the financial statements were available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offering, Recapitalization, and 2026 Bridge Financing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the Company completed a recapitalization transaction in connection with a bridge financing. The transaction included (i) a 1-for-10 reverse stock split, (ii) a rights offering and issuance of senior secured convertible notes, which included approximately $1,233,451 of new financing proceeds and the exchange of previously outstanding notes, (iii) amendments to the Company’s Certificate of Incorporation, and (iv) the exchange and conversion of certain outstanding preferred stock. The convertible notes issued in connection with the bridge financing are senior secured, bear interest at 7% per annum, mature on May 31, 2026, and are convertible into equity upon the consummation of a future financing, including at a discount to the financing price or subject to a valuation cap.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amended Certificate of Incorporation, holders of preferred stock were required to participate in the bridge financing on a specified pro rata basis in order to retain their preferred stock rights. Holders that participated exchanged their existing preferred stock for newly designated Series 1 Preferred Stock, while holders that did not participate were required to convert their preferred stock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reverse stock split, 2,892,376 shares of preferred stock were exchanged for 28,923,760 shares of Series 1 Preferred Stock and 7,943,633 shares of preferred stock were converted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issued an additional $10,000,000 of senior secured convertible promissory notes. The additional notes were issued on substantially the same terms as the notes issued in February 2026. </w:t>
      </w:r>
    </w:p>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17, 2026, the Company entered into an Agreement and Plan of Merger (the “Merger Agreement”) with Quince Therapeutics, Inc. (“Quince”), Phoenix Merger Sub I, Inc., Phoenix Merger Sub II, LLC and Orphai Holdings Therapeutics, Inc., pursuant to which the Company was acquired by Quince. Under the terms of the Merger Agreement, Merger Sub I merged with and into Orphai Holdings Therapeutics, Inc., with Orphai Holdings Therapeutics, Inc. surviving as a wholly owned subsidiary of Quince, followed immediately by the merger of Orphai Holdings Therapeutics, Inc. with and into Merger Sub II, pursuant to which Merger Sub II was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holders of Orphai equity securities received an aggregate of 3,258,517 shares of Quince common stock and 67,101.2355 shares of Quince Series C Non-Voting Convertible Preferred Stock, subject to the terms and conditions set forth in the Merger Agreement. Outstanding Company options and warrants were assumed or exchanged for corresponding Quince equity instruments, and the Company’s outstanding convertible notes converted into equity immediately prior to the effective time of the merger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Quince entered into securities purchase agreements with certain investors providing for a private placement financing which generated gross proceeds of $115,000,000 through the issuance of Quince Series C Convertible Preferred Stock and related warrants, subject to the satisfaction of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created the 2026 Stock Incentive Plan (the “2026 Plan”) which was adopted by its Board and stockholders. In May 2026, the Company amended the existing 2026 Plan to increase the shares of common stock reserved for issuance from 6,832,554 shares to 35,000,000 shares.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authorized the grant of stock options to purchase a total of 34,559,284 shares of common stock to management, employees and select consultants and advisors at a weighted average exercise price of $0.50 per share during the period from January 1, 2026 through July 29, 2026. </w:t>
      </w:r>
    </w:p>
    <w:p>
      <w:pPr>
        <w:pStyle w:val="TextBody"/>
        <w:bidi w:val="0"/>
        <w:spacing w:before="240" w:after="0"/>
        <w:jc w:val="center"/>
        <w:rPr>
          <w:rFonts w:ascii="Times New Roman" w:hAnsi="Times New Roman"/>
          <w:sz w:val="20"/>
        </w:rPr>
      </w:pPr>
      <w:r>
        <w:rPr>
          <w:rFonts w:ascii="Times New Roman" w:hAnsi="Times New Roman"/>
          <w:sz w:val="20"/>
        </w:rPr>
        <w:t xml:space="preserve">* *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p>
    <w:p>
      <w:pPr>
        <w:pStyle w:val="TextBody"/>
        <w:bidi w:val="0"/>
        <w:spacing w:before="0" w:after="0"/>
        <w:jc w:val="right"/>
        <w:rPr>
          <w:rFonts w:ascii="Times New Roman" w:hAnsi="Times New Roman"/>
          <w:b/>
          <w:sz w:val="20"/>
        </w:rPr>
      </w:pPr>
      <w:bookmarkStart w:id="10" w:name="d163930dex997.htm"/>
      <w:bookmarkStart w:id="11" w:name="ksd163930dex997"/>
      <w:bookmarkEnd w:id="10"/>
      <w:bookmarkEnd w:id="11"/>
      <w:r>
        <w:rPr>
          <w:rFonts w:ascii="Times New Roman" w:hAnsi="Times New Roman"/>
          <w:b/>
          <w:sz w:val="20"/>
        </w:rPr>
        <w:t xml:space="preserve">Exhibit 99.7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Orphai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Financial Statements as of March 31, 2026 and </w:t>
      </w:r>
    </w:p>
    <w:p>
      <w:pPr>
        <w:pStyle w:val="TextBody"/>
        <w:bidi w:val="0"/>
        <w:spacing w:before="0" w:after="0"/>
        <w:jc w:val="left"/>
        <w:rPr>
          <w:rFonts w:ascii="Times New Roman" w:hAnsi="Times New Roman"/>
          <w:sz w:val="20"/>
        </w:rPr>
      </w:pPr>
      <w:r>
        <w:rPr>
          <w:rFonts w:ascii="Times New Roman" w:hAnsi="Times New Roman"/>
          <w:sz w:val="20"/>
        </w:rPr>
        <w:t xml:space="preserve">December 31, 2025 and for the Quarterly Periods </w:t>
      </w:r>
    </w:p>
    <w:p>
      <w:pPr>
        <w:pStyle w:val="TextBody"/>
        <w:bidi w:val="0"/>
        <w:spacing w:before="0" w:after="0"/>
        <w:jc w:val="left"/>
        <w:rPr>
          <w:rFonts w:ascii="Times New Roman" w:hAnsi="Times New Roman"/>
          <w:sz w:val="20"/>
        </w:rPr>
      </w:pPr>
      <w:r>
        <w:rPr>
          <w:rFonts w:ascii="Times New Roman" w:hAnsi="Times New Roman"/>
          <w:sz w:val="20"/>
        </w:rPr>
        <w:t xml:space="preserve">Ended March 31, 2026 and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TABLE OF CONTENTS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6"/>
        <w:gridCol w:w="149"/>
        <w:gridCol w:w="60"/>
        <w:gridCol w:w="518"/>
        <w:gridCol w:w="62"/>
      </w:tblGrid>
      <w:tr>
        <w:trPr/>
        <w:tc>
          <w:tcPr>
            <w:tcW w:w="941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78"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AS OF MARCH 31, 2026 AND DECEMBER 31, 2025</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AND FOR THE QUARTERS ENDED MARCH 31, 2026 AND 2025:</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16" w:type="dxa"/>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416" w:type="dxa"/>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Operations and Comprehensive Loss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416" w:type="dxa"/>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Changes in Redeemable Convertible Preferred Stock and Stockholders’ Deficit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416" w:type="dxa"/>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Cash Flows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416" w:type="dxa"/>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tcBorders/>
          </w:tcPr>
          <w:p>
            <w:pPr>
              <w:pStyle w:val="TableContents"/>
              <w:bidi w:val="0"/>
              <w:spacing w:before="0" w:after="0"/>
              <w:jc w:val="left"/>
              <w:rPr>
                <w:rFonts w:ascii="Times New Roman" w:hAnsi="Times New Roman"/>
                <w:sz w:val="20"/>
              </w:rPr>
            </w:pPr>
            <w:r>
              <w:rPr>
                <w:rFonts w:ascii="Times New Roman" w:hAnsi="Times New Roman"/>
                <w:sz w:val="20"/>
              </w:rPr>
              <w:t>Notes to Financial Statements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pPr>
            <w:r>
              <w:rPr/>
              <w:t>5–23</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BALANCE SHEETS </w:t>
      </w:r>
    </w:p>
    <w:p>
      <w:pPr>
        <w:pStyle w:val="TextBody"/>
        <w:bidi w:val="0"/>
        <w:spacing w:before="0" w:after="0"/>
        <w:jc w:val="left"/>
        <w:rPr>
          <w:rFonts w:ascii="Times New Roman" w:hAnsi="Times New Roman"/>
          <w:b/>
          <w:sz w:val="20"/>
        </w:rPr>
      </w:pPr>
      <w:r>
        <w:rPr>
          <w:rFonts w:ascii="Times New Roman" w:hAnsi="Times New Roman"/>
          <w:b/>
          <w:sz w:val="20"/>
        </w:rPr>
        <w:t xml:space="preserve">AS OF MARCH 31, 2026 AND DECEMBER 31, 2025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2"/>
        <w:gridCol w:w="297"/>
        <w:gridCol w:w="140"/>
        <w:gridCol w:w="1298"/>
        <w:gridCol w:w="155"/>
        <w:gridCol w:w="257"/>
        <w:gridCol w:w="140"/>
        <w:gridCol w:w="1298"/>
        <w:gridCol w:w="158"/>
      </w:tblGrid>
      <w:tr>
        <w:trPr/>
        <w:tc>
          <w:tcPr>
            <w:tcW w:w="6462"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430,980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658,248</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15,000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15,000</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 receivable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12,822</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246,153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330,430</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receivables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5,100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5,100</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697,233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b/>
              </w:rPr>
            </w:pPr>
            <w:r>
              <w:rPr>
                <w:b/>
              </w:rPr>
              <w:t>1,021,600</w:t>
            </w:r>
          </w:p>
        </w:tc>
        <w:tc>
          <w:tcPr>
            <w:tcW w:w="15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697,233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1,021,600</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equity</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1,726,411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1,533,558</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619,520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449,207</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10,446,729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8,492,726</w:t>
            </w:r>
          </w:p>
        </w:tc>
        <w:tc>
          <w:tcPr>
            <w:tcW w:w="15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12,792,660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10,475,491</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3,012,238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3,183,628</w:t>
            </w:r>
          </w:p>
        </w:tc>
        <w:tc>
          <w:tcPr>
            <w:tcW w:w="15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15,804,898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13,659,119</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value—108,360,317 and 13,583,324 shares authorized as of March 31, 2026 and December 31, 2025, respectively. 28,923,770 and 10,836,011 shares issued and outstanding as of March 31, 2026 and December 31, 2025, respectively and liquidation preference of $38,620,400 and $105,133,172 as of March 31, 2026 and December 31, 2025, respectively</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35,911,831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102,006,774</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value—144,923,000 and 22,500,000 shares authorized as of March 31, 2026 and December 31, 2025, respectively. 8,341,383 and 397,753 shares issued and outstanding as of March 31, 2026 and December 31, 2025, respectively</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477,810</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398</w:t>
            </w:r>
          </w:p>
        </w:tc>
        <w:tc>
          <w:tcPr>
            <w:tcW w:w="158" w:type="dxa"/>
            <w:tcBorders/>
            <w:vAlign w:val="bottom"/>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78,463,435</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12,366,487</w:t>
            </w:r>
          </w:p>
        </w:tc>
        <w:tc>
          <w:tcPr>
            <w:tcW w:w="158" w:type="dxa"/>
            <w:tcBorders/>
            <w:shd w:fill="CCEEFF" w:val="clear"/>
            <w:vAlign w:val="bottom"/>
          </w:tcPr>
          <w:p>
            <w:pPr>
              <w:pStyle w:val="TableContents"/>
              <w:bidi w:val="0"/>
              <w:spacing w:before="0" w:after="283"/>
              <w:jc w:val="left"/>
              <w:rPr/>
            </w:pPr>
            <w:r>
              <w:rPr/>
              <w:t> </w:t>
            </w:r>
          </w:p>
        </w:tc>
      </w:tr>
      <w:tr>
        <w:trPr/>
        <w:tc>
          <w:tcPr>
            <w:tcW w:w="646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(129,960,741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(127,011,178</w:t>
            </w:r>
          </w:p>
        </w:tc>
        <w:tc>
          <w:tcPr>
            <w:tcW w:w="15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(51,019,496</w:t>
            </w:r>
          </w:p>
        </w:tc>
        <w:tc>
          <w:tcPr>
            <w:tcW w:w="155"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b/>
              </w:rPr>
            </w:pPr>
            <w:r>
              <w:rPr>
                <w:b/>
              </w:rPr>
              <w:t>(114,644,293</w:t>
            </w:r>
          </w:p>
        </w:tc>
        <w:tc>
          <w:tcPr>
            <w:tcW w:w="158" w:type="dxa"/>
            <w:tcBorders/>
            <w:shd w:fill="CCEEFF" w:val="clear"/>
            <w:vAlign w:val="bottom"/>
          </w:tcPr>
          <w:p>
            <w:pPr>
              <w:pStyle w:val="TableContents"/>
              <w:bidi w:val="0"/>
              <w:spacing w:before="0" w:after="283"/>
              <w:jc w:val="left"/>
              <w:rPr>
                <w:b/>
              </w:rPr>
            </w:pPr>
            <w:r>
              <w:rPr>
                <w:b/>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convertible preferred stock and stockholders’ deficit</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697,233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1,021,600</w:t>
            </w:r>
          </w:p>
        </w:tc>
        <w:tc>
          <w:tcPr>
            <w:tcW w:w="158" w:type="dxa"/>
            <w:tcBorders/>
            <w:vAlign w:val="bottom"/>
          </w:tcPr>
          <w:p>
            <w:pPr>
              <w:pStyle w:val="TableContents"/>
              <w:bidi w:val="0"/>
              <w:spacing w:before="0" w:after="283"/>
              <w:jc w:val="left"/>
              <w:rPr/>
            </w:pPr>
            <w:r>
              <w:rPr/>
              <w:t> </w:t>
            </w:r>
          </w:p>
        </w:tc>
      </w:tr>
      <w:tr>
        <w:trPr/>
        <w:tc>
          <w:tcPr>
            <w:tcW w:w="6462"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left"/>
        <w:rPr>
          <w:rFonts w:ascii="Times New Roman" w:hAnsi="Times New Roman"/>
          <w:b/>
          <w:sz w:val="20"/>
        </w:rPr>
      </w:pPr>
      <w:r>
        <w:rPr>
          <w:rFonts w:ascii="Times New Roman" w:hAnsi="Times New Roman"/>
          <w:b/>
          <w:sz w:val="20"/>
        </w:rPr>
        <w:t xml:space="preserve">FOR THE QUARTERS ENDED MARCH 31, 2026 AND 2025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6"/>
        <w:gridCol w:w="225"/>
        <w:gridCol w:w="140"/>
        <w:gridCol w:w="1069"/>
        <w:gridCol w:w="155"/>
        <w:gridCol w:w="192"/>
        <w:gridCol w:w="140"/>
        <w:gridCol w:w="1069"/>
        <w:gridCol w:w="159"/>
      </w:tblGrid>
      <w:tr>
        <w:trPr/>
        <w:tc>
          <w:tcPr>
            <w:tcW w:w="7056"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1,410,346</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1,451,091</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1,008,831</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440,162</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2,419,177</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1,891,253</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(2,419,177</w:t>
            </w:r>
          </w:p>
        </w:tc>
        <w:tc>
          <w:tcPr>
            <w:tcW w:w="155" w:type="dxa"/>
            <w:tcBorders/>
            <w:shd w:fill="CCEEFF" w:val="clear"/>
            <w:vAlign w:val="bottom"/>
          </w:tcPr>
          <w:p>
            <w:pPr>
              <w:pStyle w:val="TableContents"/>
              <w:bidi w:val="0"/>
              <w:spacing w:before="0" w:after="283"/>
              <w:jc w:val="left"/>
              <w:rPr>
                <w:b/>
              </w:rPr>
            </w:pPr>
            <w:r>
              <w:rPr>
                <w:b/>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(1,891,253</w:t>
            </w:r>
          </w:p>
        </w:tc>
        <w:tc>
          <w:tcPr>
            <w:tcW w:w="159" w:type="dxa"/>
            <w:tcBorders/>
            <w:shd w:fill="CCEEFF" w:val="clear"/>
            <w:vAlign w:val="bottom"/>
          </w:tcPr>
          <w:p>
            <w:pPr>
              <w:pStyle w:val="TableContents"/>
              <w:bidi w:val="0"/>
              <w:spacing w:before="0" w:after="283"/>
              <w:jc w:val="left"/>
              <w:rPr>
                <w:b/>
              </w:rPr>
            </w:pPr>
            <w:r>
              <w:rPr>
                <w:b/>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2,788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14,946</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notes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(946,481</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(128,880</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397,318</w:t>
            </w:r>
          </w:p>
        </w:tc>
        <w:tc>
          <w:tcPr>
            <w:tcW w:w="15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84,560</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15,989</w:t>
            </w:r>
          </w:p>
        </w:tc>
        <w:tc>
          <w:tcPr>
            <w:tcW w:w="15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16,028</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nonoperating expense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(530,386</w:t>
            </w:r>
          </w:p>
        </w:tc>
        <w:tc>
          <w:tcPr>
            <w:tcW w:w="155" w:type="dxa"/>
            <w:tcBorders/>
            <w:shd w:fill="CCEEFF" w:val="clear"/>
            <w:vAlign w:val="bottom"/>
          </w:tcPr>
          <w:p>
            <w:pPr>
              <w:pStyle w:val="TableContents"/>
              <w:bidi w:val="0"/>
              <w:spacing w:before="0" w:after="283"/>
              <w:jc w:val="left"/>
              <w:rPr>
                <w:b/>
              </w:rPr>
            </w:pPr>
            <w:r>
              <w:rPr>
                <w:b/>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(13,346</w:t>
            </w:r>
          </w:p>
        </w:tc>
        <w:tc>
          <w:tcPr>
            <w:tcW w:w="159" w:type="dxa"/>
            <w:tcBorders/>
            <w:shd w:fill="CCEEFF" w:val="clear"/>
            <w:vAlign w:val="bottom"/>
          </w:tcPr>
          <w:p>
            <w:pPr>
              <w:pStyle w:val="TableContents"/>
              <w:bidi w:val="0"/>
              <w:spacing w:before="0" w:after="283"/>
              <w:jc w:val="left"/>
              <w:rPr>
                <w:b/>
              </w:rPr>
            </w:pPr>
            <w:r>
              <w:rPr>
                <w:b/>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9" w:type="dxa"/>
            <w:tcBorders/>
            <w:vAlign w:val="bottom"/>
          </w:tcPr>
          <w:p>
            <w:pPr>
              <w:pStyle w:val="TableContents"/>
              <w:bidi w:val="0"/>
              <w:spacing w:before="0" w:after="283"/>
              <w:jc w:val="right"/>
              <w:rPr>
                <w:b/>
              </w:rPr>
            </w:pPr>
            <w:r>
              <w:rPr>
                <w:b/>
              </w:rPr>
              <w:t>(2,949,563</w:t>
            </w:r>
          </w:p>
        </w:tc>
        <w:tc>
          <w:tcPr>
            <w:tcW w:w="155" w:type="dxa"/>
            <w:tcBorders/>
            <w:vAlign w:val="bottom"/>
          </w:tcPr>
          <w:p>
            <w:pPr>
              <w:pStyle w:val="TableContents"/>
              <w:bidi w:val="0"/>
              <w:spacing w:before="0" w:after="283"/>
              <w:jc w:val="left"/>
              <w:rPr>
                <w:b/>
              </w:rPr>
            </w:pPr>
            <w:r>
              <w:rPr>
                <w:b/>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9" w:type="dxa"/>
            <w:tcBorders/>
            <w:vAlign w:val="bottom"/>
          </w:tcPr>
          <w:p>
            <w:pPr>
              <w:pStyle w:val="TableContents"/>
              <w:bidi w:val="0"/>
              <w:spacing w:before="0" w:after="283"/>
              <w:jc w:val="right"/>
              <w:rPr>
                <w:b/>
              </w:rPr>
            </w:pPr>
            <w:r>
              <w:rPr>
                <w:b/>
              </w:rPr>
              <w:t>(1,904,599</w:t>
            </w:r>
          </w:p>
        </w:tc>
        <w:tc>
          <w:tcPr>
            <w:tcW w:w="159" w:type="dxa"/>
            <w:tcBorders/>
            <w:vAlign w:val="bottom"/>
          </w:tcPr>
          <w:p>
            <w:pPr>
              <w:pStyle w:val="TableContents"/>
              <w:bidi w:val="0"/>
              <w:spacing w:before="0" w:after="283"/>
              <w:jc w:val="left"/>
              <w:rPr>
                <w:b/>
              </w:rPr>
            </w:pPr>
            <w:r>
              <w:rPr>
                <w:b/>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STATEMENTS OF CHANGES IN REDEEMABLE CONVERTIBLE PREFERRED STOCK AND STOCKHOLDERS’ DEFICIT </w:t>
      </w:r>
    </w:p>
    <w:p>
      <w:pPr>
        <w:pStyle w:val="TextBody"/>
        <w:bidi w:val="0"/>
        <w:spacing w:before="0" w:after="0"/>
        <w:jc w:val="left"/>
        <w:rPr>
          <w:rFonts w:ascii="Times New Roman" w:hAnsi="Times New Roman"/>
          <w:b/>
          <w:sz w:val="20"/>
        </w:rPr>
      </w:pPr>
      <w:r>
        <w:rPr>
          <w:rFonts w:ascii="Times New Roman" w:hAnsi="Times New Roman"/>
          <w:b/>
          <w:sz w:val="20"/>
        </w:rPr>
        <w:t xml:space="preserve">FOR THE QUARTERS ENDED MARCH 31, 2026 AND 2025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2045" w:type="dxa"/>
        <w:jc w:val="center"/>
        <w:tblInd w:w="0" w:type="dxa"/>
        <w:tblLayout w:type="fixed"/>
        <w:tblCellMar>
          <w:top w:w="0" w:type="dxa"/>
          <w:left w:w="0" w:type="dxa"/>
          <w:bottom w:w="0" w:type="dxa"/>
          <w:right w:w="0" w:type="dxa"/>
        </w:tblCellMar>
      </w:tblPr>
      <w:tblGrid>
        <w:gridCol w:w="1175"/>
        <w:gridCol w:w="60"/>
        <w:gridCol w:w="60"/>
        <w:gridCol w:w="1100"/>
        <w:gridCol w:w="155"/>
        <w:gridCol w:w="60"/>
        <w:gridCol w:w="140"/>
        <w:gridCol w:w="1220"/>
        <w:gridCol w:w="155"/>
        <w:gridCol w:w="60"/>
        <w:gridCol w:w="60"/>
        <w:gridCol w:w="980"/>
        <w:gridCol w:w="60"/>
        <w:gridCol w:w="60"/>
        <w:gridCol w:w="140"/>
        <w:gridCol w:w="800"/>
        <w:gridCol w:w="60"/>
        <w:gridCol w:w="60"/>
        <w:gridCol w:w="191"/>
        <w:gridCol w:w="1509"/>
        <w:gridCol w:w="60"/>
        <w:gridCol w:w="60"/>
        <w:gridCol w:w="140"/>
        <w:gridCol w:w="1295"/>
        <w:gridCol w:w="155"/>
        <w:gridCol w:w="60"/>
        <w:gridCol w:w="196"/>
        <w:gridCol w:w="1819"/>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 Convertible</w:t>
              <w:br/>
              <w:t>Preferred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7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 Paid-</w:t>
            </w:r>
            <w:r>
              <w:rPr/>
              <w:br/>
            </w:r>
            <w:r>
              <w:rPr>
                <w:b/>
              </w:rPr>
              <w:t>in 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 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7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4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10,836,011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102,006,774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397,749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509" w:type="dxa"/>
            <w:tcBorders/>
            <w:shd w:fill="CCEEFF" w:val="clear"/>
            <w:vAlign w:val="bottom"/>
          </w:tcPr>
          <w:p>
            <w:pPr>
              <w:pStyle w:val="TableContents"/>
              <w:bidi w:val="0"/>
              <w:spacing w:before="0" w:after="283"/>
              <w:jc w:val="right"/>
              <w:rPr>
                <w:b/>
              </w:rPr>
            </w:pPr>
            <w:r>
              <w:rPr>
                <w:b/>
              </w:rPr>
              <w:t>12,161,938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5" w:type="dxa"/>
            <w:tcBorders/>
            <w:shd w:fill="CCEEFF" w:val="clear"/>
            <w:vAlign w:val="bottom"/>
          </w:tcPr>
          <w:p>
            <w:pPr>
              <w:pStyle w:val="TableContents"/>
              <w:bidi w:val="0"/>
              <w:spacing w:before="0" w:after="283"/>
              <w:jc w:val="right"/>
              <w:rPr>
                <w:b/>
              </w:rPr>
            </w:pPr>
            <w:r>
              <w:rPr>
                <w:b/>
              </w:rPr>
              <w:t>(115,719,965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b/>
              </w:rPr>
            </w:pPr>
            <w:r>
              <w:rPr>
                <w:b/>
              </w:rPr>
              <w:t>$</w:t>
            </w:r>
          </w:p>
        </w:tc>
        <w:tc>
          <w:tcPr>
            <w:tcW w:w="1819" w:type="dxa"/>
            <w:tcBorders/>
            <w:shd w:fill="CCEEFF" w:val="clear"/>
            <w:vAlign w:val="bottom"/>
          </w:tcPr>
          <w:p>
            <w:pPr>
              <w:pStyle w:val="TableContents"/>
              <w:bidi w:val="0"/>
              <w:spacing w:before="0" w:after="283"/>
              <w:jc w:val="right"/>
              <w:rPr>
                <w:b/>
              </w:rPr>
            </w:pPr>
            <w:r>
              <w:rPr>
                <w:b/>
              </w:rPr>
              <w:t>(103,557,629</w:t>
            </w:r>
          </w:p>
        </w:tc>
        <w:tc>
          <w:tcPr>
            <w:tcW w:w="155" w:type="dxa"/>
            <w:tcBorders/>
            <w:shd w:fill="CCEEFF" w:val="clear"/>
            <w:vAlign w:val="bottom"/>
          </w:tcPr>
          <w:p>
            <w:pPr>
              <w:pStyle w:val="TableContents"/>
              <w:bidi w:val="0"/>
              <w:spacing w:before="0" w:after="283"/>
              <w:jc w:val="left"/>
              <w:rPr>
                <w:b/>
              </w:rPr>
            </w:pPr>
            <w:r>
              <w:rPr>
                <w:b/>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issued upon exercise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42,421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42,421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(1,904,599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(1,904,599</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March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10,836,011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102,006,774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397,749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1509" w:type="dxa"/>
            <w:tcBorders/>
            <w:shd w:fill="CCEEFF" w:val="clear"/>
            <w:vAlign w:val="bottom"/>
          </w:tcPr>
          <w:p>
            <w:pPr>
              <w:pStyle w:val="TableContents"/>
              <w:bidi w:val="0"/>
              <w:spacing w:before="0" w:after="283"/>
              <w:jc w:val="right"/>
              <w:rPr>
                <w:b/>
              </w:rPr>
            </w:pPr>
            <w:r>
              <w:rPr>
                <w:b/>
              </w:rPr>
              <w:t>12,204,359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5" w:type="dxa"/>
            <w:tcBorders/>
            <w:shd w:fill="CCEEFF" w:val="clear"/>
            <w:vAlign w:val="bottom"/>
          </w:tcPr>
          <w:p>
            <w:pPr>
              <w:pStyle w:val="TableContents"/>
              <w:bidi w:val="0"/>
              <w:spacing w:before="0" w:after="283"/>
              <w:jc w:val="right"/>
              <w:rPr>
                <w:b/>
              </w:rPr>
            </w:pPr>
            <w:r>
              <w:rPr>
                <w:b/>
              </w:rPr>
              <w:t>(117,624,564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b/>
              </w:rPr>
            </w:pPr>
            <w:r>
              <w:rPr>
                <w:b/>
              </w:rPr>
              <w:t>$</w:t>
            </w:r>
          </w:p>
        </w:tc>
        <w:tc>
          <w:tcPr>
            <w:tcW w:w="1819" w:type="dxa"/>
            <w:tcBorders/>
            <w:shd w:fill="CCEEFF" w:val="clear"/>
            <w:vAlign w:val="bottom"/>
          </w:tcPr>
          <w:p>
            <w:pPr>
              <w:pStyle w:val="TableContents"/>
              <w:bidi w:val="0"/>
              <w:spacing w:before="0" w:after="283"/>
              <w:jc w:val="right"/>
              <w:rPr>
                <w:b/>
              </w:rPr>
            </w:pPr>
            <w:r>
              <w:rPr>
                <w:b/>
              </w:rPr>
              <w:t>(105,419,807</w:t>
            </w:r>
          </w:p>
        </w:tc>
        <w:tc>
          <w:tcPr>
            <w:tcW w:w="155" w:type="dxa"/>
            <w:tcBorders/>
            <w:shd w:fill="CCEEFF" w:val="clear"/>
            <w:vAlign w:val="bottom"/>
          </w:tcPr>
          <w:p>
            <w:pPr>
              <w:pStyle w:val="TableContents"/>
              <w:bidi w:val="0"/>
              <w:spacing w:before="0" w:after="283"/>
              <w:jc w:val="left"/>
              <w:rPr>
                <w:b/>
              </w:rPr>
            </w:pPr>
            <w:r>
              <w:rPr>
                <w:b/>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b/>
                <w:sz w:val="20"/>
              </w:rPr>
            </w:pPr>
            <w:r>
              <w:rPr>
                <w:rFonts w:ascii="Times New Roman" w:hAnsi="Times New Roman"/>
                <w:b/>
                <w:sz w:val="20"/>
              </w:rPr>
              <w:t>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10,836,011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102,006,774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397,749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1509" w:type="dxa"/>
            <w:tcBorders/>
            <w:vAlign w:val="bottom"/>
          </w:tcPr>
          <w:p>
            <w:pPr>
              <w:pStyle w:val="TableContents"/>
              <w:bidi w:val="0"/>
              <w:spacing w:before="0" w:after="283"/>
              <w:jc w:val="right"/>
              <w:rPr>
                <w:b/>
              </w:rPr>
            </w:pPr>
            <w:r>
              <w:rPr>
                <w:b/>
              </w:rPr>
              <w:t>12,366,487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5" w:type="dxa"/>
            <w:tcBorders/>
            <w:vAlign w:val="bottom"/>
          </w:tcPr>
          <w:p>
            <w:pPr>
              <w:pStyle w:val="TableContents"/>
              <w:bidi w:val="0"/>
              <w:spacing w:before="0" w:after="283"/>
              <w:jc w:val="right"/>
              <w:rPr>
                <w:b/>
              </w:rPr>
            </w:pPr>
            <w:r>
              <w:rPr>
                <w:b/>
              </w:rPr>
              <w:t>(127,011,178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819" w:type="dxa"/>
            <w:tcBorders/>
            <w:vAlign w:val="bottom"/>
          </w:tcPr>
          <w:p>
            <w:pPr>
              <w:pStyle w:val="TableContents"/>
              <w:bidi w:val="0"/>
              <w:spacing w:before="0" w:after="283"/>
              <w:jc w:val="right"/>
              <w:rPr>
                <w:b/>
              </w:rPr>
            </w:pPr>
            <w:r>
              <w:rPr>
                <w:b/>
              </w:rPr>
              <w:t>(114,644,293</w:t>
            </w:r>
          </w:p>
        </w:tc>
        <w:tc>
          <w:tcPr>
            <w:tcW w:w="155" w:type="dxa"/>
            <w:tcBorders/>
            <w:vAlign w:val="bottom"/>
          </w:tcPr>
          <w:p>
            <w:pPr>
              <w:pStyle w:val="TableContents"/>
              <w:bidi w:val="0"/>
              <w:spacing w:before="0" w:after="283"/>
              <w:jc w:val="left"/>
              <w:rPr>
                <w:b/>
              </w:rPr>
            </w:pPr>
            <w:r>
              <w:rPr>
                <w:b/>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for the conversion of preferred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(7,943,633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(66,094,943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7,943,634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477,412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65,617,532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66,094,944</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Series C preferred shares for Series 1-C preferred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(803,080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of Series D preferred shares for Series 1-D preferred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(571,426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Series E preferred shares for Series 1-E preferred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(1,517,872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1-C Preferred shares for the conversion of Series C Preferred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8,030,790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1-D Preferred shares for the conversion of Series D Preferred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5,714,250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1-E Preferred shares for the conversion of Series E Preferred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15,178,730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9" w:type="dxa"/>
            <w:tcBorders/>
            <w:vAlign w:val="bottom"/>
          </w:tcPr>
          <w:p>
            <w:pPr>
              <w:pStyle w:val="TableContents"/>
              <w:bidi w:val="0"/>
              <w:spacing w:before="0" w:after="283"/>
              <w:jc w:val="right"/>
              <w:rPr/>
            </w:pPr>
            <w:r>
              <w:rPr/>
              <w:t>479,416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19" w:type="dxa"/>
            <w:tcBorders/>
            <w:vAlign w:val="bottom"/>
          </w:tcPr>
          <w:p>
            <w:pPr>
              <w:pStyle w:val="TableContents"/>
              <w:bidi w:val="0"/>
              <w:spacing w:before="0" w:after="283"/>
              <w:jc w:val="right"/>
              <w:rPr/>
            </w:pPr>
            <w:r>
              <w:rPr/>
              <w:t>479,416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(2,949,563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19" w:type="dxa"/>
            <w:tcBorders/>
            <w:shd w:fill="CCEEFF" w:val="clear"/>
            <w:vAlign w:val="bottom"/>
          </w:tcPr>
          <w:p>
            <w:pPr>
              <w:pStyle w:val="TableContents"/>
              <w:bidi w:val="0"/>
              <w:spacing w:before="0" w:after="283"/>
              <w:jc w:val="right"/>
              <w:rPr/>
            </w:pPr>
            <w:r>
              <w:rPr/>
              <w:t>(2,949,563</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28,923,770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35,911,831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8,341,383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477,810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1509" w:type="dxa"/>
            <w:tcBorders/>
            <w:vAlign w:val="bottom"/>
          </w:tcPr>
          <w:p>
            <w:pPr>
              <w:pStyle w:val="TableContents"/>
              <w:bidi w:val="0"/>
              <w:spacing w:before="0" w:after="283"/>
              <w:jc w:val="right"/>
              <w:rPr>
                <w:b/>
              </w:rPr>
            </w:pPr>
            <w:r>
              <w:rPr>
                <w:b/>
              </w:rPr>
              <w:t>78,463,435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5" w:type="dxa"/>
            <w:tcBorders/>
            <w:vAlign w:val="bottom"/>
          </w:tcPr>
          <w:p>
            <w:pPr>
              <w:pStyle w:val="TableContents"/>
              <w:bidi w:val="0"/>
              <w:spacing w:before="0" w:after="283"/>
              <w:jc w:val="right"/>
              <w:rPr>
                <w:b/>
              </w:rPr>
            </w:pPr>
            <w:r>
              <w:rPr>
                <w:b/>
              </w:rPr>
              <w:t>(129,960,741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819" w:type="dxa"/>
            <w:tcBorders/>
            <w:vAlign w:val="bottom"/>
          </w:tcPr>
          <w:p>
            <w:pPr>
              <w:pStyle w:val="TableContents"/>
              <w:bidi w:val="0"/>
              <w:spacing w:before="0" w:after="283"/>
              <w:jc w:val="right"/>
              <w:rPr>
                <w:b/>
              </w:rPr>
            </w:pPr>
            <w:r>
              <w:rPr>
                <w:b/>
              </w:rPr>
              <w:t>(51,019,496</w:t>
            </w:r>
          </w:p>
        </w:tc>
        <w:tc>
          <w:tcPr>
            <w:tcW w:w="155" w:type="dxa"/>
            <w:tcBorders/>
            <w:vAlign w:val="bottom"/>
          </w:tcPr>
          <w:p>
            <w:pPr>
              <w:pStyle w:val="TableContents"/>
              <w:bidi w:val="0"/>
              <w:spacing w:before="0" w:after="283"/>
              <w:jc w:val="left"/>
              <w:rPr>
                <w:b/>
              </w:rPr>
            </w:pPr>
            <w:r>
              <w:rPr>
                <w:b/>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STATEMENT OF CASH FLOWS </w:t>
      </w:r>
    </w:p>
    <w:p>
      <w:pPr>
        <w:pStyle w:val="TextBody"/>
        <w:bidi w:val="0"/>
        <w:spacing w:before="0" w:after="0"/>
        <w:jc w:val="left"/>
        <w:rPr>
          <w:rFonts w:ascii="Times New Roman" w:hAnsi="Times New Roman"/>
          <w:b/>
          <w:sz w:val="20"/>
        </w:rPr>
      </w:pPr>
      <w:r>
        <w:rPr>
          <w:rFonts w:ascii="Times New Roman" w:hAnsi="Times New Roman"/>
          <w:b/>
          <w:sz w:val="20"/>
        </w:rPr>
        <w:t xml:space="preserve">FOR THE QUARTERS ENDED MARCH 31, 2026 AND 2025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3"/>
        <w:gridCol w:w="227"/>
        <w:gridCol w:w="140"/>
        <w:gridCol w:w="1075"/>
        <w:gridCol w:w="155"/>
        <w:gridCol w:w="193"/>
        <w:gridCol w:w="140"/>
        <w:gridCol w:w="1075"/>
        <w:gridCol w:w="157"/>
      </w:tblGrid>
      <w:tr>
        <w:trPr/>
        <w:tc>
          <w:tcPr>
            <w:tcW w:w="704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(2,949,563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(1,904,599</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347</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 and warrants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549,163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44,320</w:t>
            </w:r>
          </w:p>
        </w:tc>
        <w:tc>
          <w:tcPr>
            <w:tcW w:w="157" w:type="dxa"/>
            <w:tcBorders/>
            <w:shd w:fill="CCEEFF" w:val="clear"/>
            <w:vAlign w:val="bottom"/>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479,416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42,421</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84,277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52,842</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tax credit receivable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12,822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192,853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245,074</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Accrued expenses </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170,313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540,326</w:t>
            </w:r>
          </w:p>
        </w:tc>
        <w:tc>
          <w:tcPr>
            <w:tcW w:w="157"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(1,460,719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(979,269</w:t>
            </w:r>
          </w:p>
        </w:tc>
        <w:tc>
          <w:tcPr>
            <w:tcW w:w="157" w:type="dxa"/>
            <w:tcBorders/>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notes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1,233,451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1,233,451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 cash and cash equivalents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(227,268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(979,269</w:t>
            </w:r>
          </w:p>
        </w:tc>
        <w:tc>
          <w:tcPr>
            <w:tcW w:w="157" w:type="dxa"/>
            <w:tcBorders/>
            <w:vAlign w:val="bottom"/>
          </w:tcPr>
          <w:p>
            <w:pPr>
              <w:pStyle w:val="TableContents"/>
              <w:bidi w:val="0"/>
              <w:spacing w:before="0" w:after="283"/>
              <w:jc w:val="left"/>
              <w:rPr/>
            </w:pPr>
            <w:r>
              <w:rPr/>
              <w:t>) </w:t>
            </w:r>
          </w:p>
        </w:tc>
      </w:tr>
      <w:tr>
        <w:trPr/>
        <w:tc>
          <w:tcPr>
            <w:tcW w:w="7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year</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658,248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2,220,979</w:t>
            </w:r>
          </w:p>
        </w:tc>
        <w:tc>
          <w:tcPr>
            <w:tcW w:w="157" w:type="dxa"/>
            <w:tcBorders/>
            <w:shd w:fill="CCEEFF" w:val="clear"/>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year</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430,980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5" w:type="dxa"/>
            <w:tcBorders/>
            <w:vAlign w:val="bottom"/>
          </w:tcPr>
          <w:p>
            <w:pPr>
              <w:pStyle w:val="TableContents"/>
              <w:bidi w:val="0"/>
              <w:spacing w:before="0" w:after="283"/>
              <w:jc w:val="right"/>
              <w:rPr/>
            </w:pPr>
            <w:r>
              <w:rPr/>
              <w:t>1,241,710</w:t>
            </w:r>
          </w:p>
        </w:tc>
        <w:tc>
          <w:tcPr>
            <w:tcW w:w="157" w:type="dxa"/>
            <w:tcBorders/>
            <w:vAlign w:val="bottom"/>
          </w:tcPr>
          <w:p>
            <w:pPr>
              <w:pStyle w:val="TableContents"/>
              <w:bidi w:val="0"/>
              <w:spacing w:before="0" w:after="283"/>
              <w:jc w:val="left"/>
              <w:rPr/>
            </w:pPr>
            <w:r>
              <w:rPr/>
              <w:t> </w:t>
            </w:r>
          </w:p>
        </w:tc>
      </w:tr>
      <w:tr>
        <w:trPr/>
        <w:tc>
          <w:tcPr>
            <w:tcW w:w="704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ORPHAI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Orphai Therapeutics, Inc. (the “Company”), formerly known as AI Therapeutics, Inc., and LAM Therapeutics, Inc., was incorporated as a Delaware corporation on March 4, 2013. The Company is a clinical-stage biopharmaceutical company developing a novel disease modifying therapeutic to address the significant unmet medical need associated with pulmonary disorders with few, if any, treatment options available. The Company is currently developing LAM-001 for the treatment of pulmonary hypertension associated with interstitial lung disease (PH-ILD), bronchiolitis obliterans syndrome (BOS), and sarcoidosis associated pulmonary hypertension (SAPH). </w:t>
      </w:r>
    </w:p>
    <w:p>
      <w:pPr>
        <w:pStyle w:val="TextBody"/>
        <w:bidi w:val="0"/>
        <w:spacing w:before="120" w:after="0"/>
        <w:jc w:val="left"/>
        <w:rPr>
          <w:rFonts w:ascii="Times New Roman" w:hAnsi="Times New Roman"/>
          <w:sz w:val="20"/>
        </w:rPr>
      </w:pPr>
      <w:r>
        <w:rPr>
          <w:rFonts w:ascii="Times New Roman" w:hAnsi="Times New Roman"/>
          <w:b/>
          <w:sz w:val="20"/>
        </w:rPr>
        <w:t>Liquidity and Going Concern—</w:t>
      </w:r>
      <w:r>
        <w:rPr>
          <w:rFonts w:ascii="Times New Roman" w:hAnsi="Times New Roman"/>
          <w:sz w:val="20"/>
        </w:rPr>
        <w:t xml:space="preserve">The accompanying financial statements are prepared in accordance with generally accepted accounting principles applicable to a going concern, which contemplates the realization of assets and satisfaction of liabilities in the normal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the Company has generated no revenue and has funded its operations primarily through the issuance of preferred stock and convertible promissory notes to private investors. The Company has incurred recurring operating losses and negative cash flows from operations since inception, including a net loss of $2,949,563 for the three months ended March 31, 2026, and had an accumulated deficit of $129,960,741 as of March 31, 2026. The Company expects to continue to incur operating losses and negative cash flows from operations for the foreseeable future as it continues to advance its research and development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cash and cash equivalents were not sufficient to fund its planned operations and satisfy its obligations as they became due for a period of at least twelve months from the date these financial statements are available to be issued. Accordingly, management determined that conditions existed that raised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In order to mitigate these conditions, on May 18, 2026, the Company was acquired by Quince Therapeutics, Inc. (“Quince”). Concurrent with the closing of the merger, Quince completed a private placement financing that generated gross proceeds of approximately $115,000,000 through the issuance of Quince Series C Convertible Preferred Stock and related warrants (see Note 10, Subsequent Events). In connection with the merger, holders of the Company’s equity securities received Quince common stock and Quince Series C Convertible Preferred Stock, the Company’s outstanding convertible notes converted into equity immediately prior to the effective time of the Merger in accordance with their terms, and the Company’s outstanding options and warrants were assumed or exchanged for corresponding Quince equity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Quince Series C Convertible Preferred Stock issued in the merger and the private placement financing are convertible into Quince common stock upon receipt of the requisite stockholder approval under applicable Nasdaq listing rules. Under the terms of the Certificate of Designation, if Quince fails to obtain the required stockholder approval or otherwise fails to timely deliver shares of common stock upon conversion following the applicable trigger date, which is the date on which the Series C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becomes convertible following receipt of the required stockholder approval, holders of the Series C Convertible Preferred Stock are entitled to require Quince to make cash payments based on the value of the undelivered shares. As a result, the Company concluded that the proceeds received from the private placement financing cannot be relied upon to mitigate the conditions that raised substantial doubt because the availability of those proceeds is subject to conditions that are not entirely within the Company’s control. Management’s plan to convert the Series C Convertible Preferred Stock into common stock and therefore remove the requirement to make cash payment based on the value of the undelivered shares is the execution of a stockholder proxy vote set to take place in or around September 2026. Accordingly, the Company concluded that substantial doubt about the Company’s ability to continue as a going concern continues to exist within one year after the date these financial statements are available to be issued.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do not include any adjustments relating to the recoverability and classification of recorded assets or the amounts and classification of liabilities that may result from the outcome of this uncertainty.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Basis of Presentation</w:t>
      </w:r>
      <w:r>
        <w:rPr>
          <w:rFonts w:ascii="Times New Roman" w:hAnsi="Times New Roman"/>
          <w:sz w:val="20"/>
        </w:rPr>
        <w:t xml:space="preserve">—The accompanying financial statements should be read in conjunction with the audited financial statements and related notes thereto for the year ended December 31, 2025. These financial statements have been prepared in accordance with accounting principles generally accepted in the United States of America (“US GAAP”). </w:t>
      </w:r>
    </w:p>
    <w:p>
      <w:pPr>
        <w:pStyle w:val="TextBody"/>
        <w:bidi w:val="0"/>
        <w:spacing w:before="120" w:after="0"/>
        <w:jc w:val="left"/>
        <w:rPr>
          <w:rFonts w:ascii="Times New Roman" w:hAnsi="Times New Roman"/>
          <w:sz w:val="20"/>
        </w:rPr>
      </w:pPr>
      <w:r>
        <w:rPr>
          <w:rFonts w:ascii="Times New Roman" w:hAnsi="Times New Roman"/>
          <w:b/>
          <w:sz w:val="20"/>
        </w:rPr>
        <w:t>Reverse Stock Split</w:t>
      </w:r>
      <w:r>
        <w:rPr>
          <w:rFonts w:ascii="Times New Roman" w:hAnsi="Times New Roman"/>
          <w:sz w:val="20"/>
        </w:rPr>
        <w:t xml:space="preserve">—In February 2026, the Company effected a 1-for-10 reverse stock split of its common stock. Accordingly, all stockholders of record received one issued and outstanding common share in exchange for ten outstanding common shares. No fractional shares were issued in connection with the reverse split, and any fractional shares were rounded to the nearest whole share. All share and per-share amounts in these financial statements have been retroactively adjusted to reflect the reverse stock split for all periods presented. </w:t>
      </w:r>
    </w:p>
    <w:p>
      <w:pPr>
        <w:pStyle w:val="TextBody"/>
        <w:bidi w:val="0"/>
        <w:spacing w:before="120" w:after="0"/>
        <w:jc w:val="left"/>
        <w:rPr>
          <w:rFonts w:ascii="Times New Roman" w:hAnsi="Times New Roman"/>
          <w:sz w:val="20"/>
        </w:rPr>
      </w:pPr>
      <w:r>
        <w:rPr>
          <w:rFonts w:ascii="Times New Roman" w:hAnsi="Times New Roman"/>
          <w:b/>
          <w:sz w:val="20"/>
        </w:rPr>
        <w:t>Concentration of Credit Risk</w:t>
      </w:r>
      <w:r>
        <w:rPr>
          <w:rFonts w:ascii="Times New Roman" w:hAnsi="Times New Roman"/>
          <w:sz w:val="20"/>
        </w:rPr>
        <w:t xml:space="preserve">—Financial instruments that potentially subject the Company to concentration of credit risk consist principally of cash and cash equivalents. At March 31, 2026 and December 31, 2025, substantially all the Company’s cash and cash equivalents were invested in money market funds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 </w:t>
      </w:r>
    </w:p>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the financial statements in conformity with US GAAP requires the Company to make estimates and assumptions about future events that affect the amounts reported in its financial statements and accompanying notes. Future events and their effects cannot be determined with certainty. On an ongoing basis, management evaluates these estimates and assumptions. Significant estimates and assumptions include assumptions underlying the fair value used in the calculation of the stock-based compensation, the fair value of warrants and fair values of convertible notes. In addition, management makes assumptions related to work completed but not yet billed by third party vendors to calculate prepaid and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—All highly liquid investments purchased with a maturity of three months or less are cash equivalents. As of March 31, 2026 and December 31, 2025, cash and cash equivalents consist of bank depository accounts and money market funds. </w:t>
      </w:r>
    </w:p>
    <w:p>
      <w:pPr>
        <w:pStyle w:val="TextBody"/>
        <w:bidi w:val="0"/>
        <w:spacing w:before="120" w:after="0"/>
        <w:jc w:val="left"/>
        <w:rPr>
          <w:rFonts w:ascii="Times New Roman" w:hAnsi="Times New Roman"/>
          <w:sz w:val="20"/>
        </w:rPr>
      </w:pPr>
      <w:r>
        <w:rPr>
          <w:rFonts w:ascii="Times New Roman" w:hAnsi="Times New Roman"/>
          <w:b/>
          <w:sz w:val="20"/>
        </w:rPr>
        <w:t>Research and Development Tax Credit Receivable</w:t>
      </w:r>
      <w:r>
        <w:rPr>
          <w:rFonts w:ascii="Times New Roman" w:hAnsi="Times New Roman"/>
          <w:sz w:val="20"/>
        </w:rPr>
        <w:t xml:space="preserve">—Research and development tax credit receivable includes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statements of operations and comprehensive loss in the annual period the corresponding expenses were incurred. </w:t>
      </w:r>
    </w:p>
    <w:p>
      <w:pPr>
        <w:pStyle w:val="TextBody"/>
        <w:bidi w:val="0"/>
        <w:spacing w:before="120" w:after="0"/>
        <w:jc w:val="left"/>
        <w:rPr>
          <w:rFonts w:ascii="Times New Roman" w:hAnsi="Times New Roman"/>
          <w:sz w:val="20"/>
        </w:rPr>
      </w:pPr>
      <w:r>
        <w:rPr>
          <w:rFonts w:ascii="Times New Roman" w:hAnsi="Times New Roman"/>
          <w:b/>
          <w:sz w:val="20"/>
        </w:rPr>
        <w:t>Research and Development</w:t>
      </w:r>
      <w:r>
        <w:rPr>
          <w:rFonts w:ascii="Times New Roman" w:hAnsi="Times New Roman"/>
          <w:sz w:val="20"/>
        </w:rPr>
        <w:t xml:space="preserve">—Research and development expenses are composed of costs incurred in performing research and development activities, including personnel salaries, benefits, and equity-based compensation; external research and development expenses incurred under arrangements with third parties, such as contract research organization agreements, investigational sites, and consultants; the cost of developing and manufacturing clinical study materials, program regulatory costs, expenses associated with obligations under asset acquisitions, license agreements, and other direct and indirect costs. Costs incurred in connection with research and development activities are expensed as incurred. Costs are considered incurred based on an evaluation of the progress to completion of each contract using information and data provided by the respective vendors, including the Company’s clinical sites. Depending upon the timing of invoicing by the service providers, the Company recognizes prepaid expenses or accrued expenses related to these costs. These prepaid expenses or accrued expenses are based on management’s estimates of the work performed under service agreements, milestones achieved, and experience with similar contracts. The Company monitors each of these factors and adjusts estimates accordingly. </w:t>
      </w:r>
    </w:p>
    <w:p>
      <w:pPr>
        <w:pStyle w:val="TextBody"/>
        <w:bidi w:val="0"/>
        <w:spacing w:before="120" w:after="0"/>
        <w:jc w:val="left"/>
        <w:rPr>
          <w:rFonts w:ascii="Times New Roman" w:hAnsi="Times New Roman"/>
          <w:sz w:val="20"/>
        </w:rPr>
      </w:pPr>
      <w:r>
        <w:rPr>
          <w:rFonts w:ascii="Times New Roman" w:hAnsi="Times New Roman"/>
          <w:b/>
          <w:sz w:val="20"/>
        </w:rPr>
        <w:t>Convertible Notes and Warrant Liabilities</w:t>
      </w:r>
      <w:r>
        <w:rPr>
          <w:rFonts w:ascii="Times New Roman" w:hAnsi="Times New Roman"/>
          <w:sz w:val="20"/>
        </w:rPr>
        <w:t xml:space="preserve">—The Company has elected the fair value option under Accounting Standards Codification (“ASC 825”), Financial Instruments, for its convertible notes. The fair value option was elected because the convertible notes contain embedded features and contingent settlement provisions that could otherwise require bifurcation and separate accounting. The election results in a single measurement attribute for the entire convertible notes and eliminates the need to separately account for embedded features and contingent settlement provisions. Accordingly, transaction costs incurred upon issuance of the convertible notes are recognized as incurred in the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Convertible notes are initially measured at fair value upon issuance and subsequently remeasured to fair value at each reporting date, with changes in fair value recognized in the statements of operations and comprehensive loss within non-operating expense. The Company has elected to report changes in fair value attributable to the accrual of contractual interest as part of the overall change in fair value recognized in earnings. Accordingly, contractual interest is not presented separately as 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convertible notes is estimated using scenario-based valuation techniques that considered the probability of financing, conversion, redemption and other settlement scenarios. Significant assumptions include the expected timing and probability of such scenarios, market participant discount rates, contractual terms and other relevant market participant assumptions. Changes in fair value, including those attributable to changes in instrument-specific credit risk, are recognized in the period incurred. Because the valuation incorporates significant unobservable inputs, the fair value measurement of the convertible notes is classified within Level 3 of the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hierarchy. The valuation of the convertible notes incorporates market participant assumptions regarding instrument-specific credit risk as one of several unobservable inputs used in estimating fair value. Changes in market participant credit risk remained relatively stable during the periods presented and changes in the fair value of the convertible notes were driven primarily by revisions to probability-weighted financing and liquidity-event assumptions, contractual terms, and expected timing of future events rather than changes in instrument-specific credit risk. Accordingly, the Company concluded that changes attributable solely to instrument-specific credit risk were not material for the changes in fair value for the three months ended March 31, 2025 and March 31, 2026, respectively. Additional information regarding the Company’s fair value measurements, including significant assumptions used in the valuation of the convertible notes, is included in Note 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certain freestanding warrants as liabilities in accordance with ASC 480, Distinguishing Liabilities from Equity, because the warrants are exercisable into preferred stock that is redeemable upon the occurrence of events not solely within the Company’s control. Warrant liabilities are initially measured at fair value upon issuance and subsequently remeasured to fair value at each reporting date, with changes in fair value recognized in the statements of operations and comprehensive loss within non-operating expense.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warrant liabilities is determined using valuation methodologies that incorporate probability-weighted financing, conversion, redemption and other liquidity-event scenarios, together with assumptions regarding the expected timing and probability of each scenario, required market participant discount rates and other relevant inputs. Because the valuation incorporates significant unobservable inputs, the fair value measurement of the warrant liabilities is classified within Level 3 of the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Additional information regarding the valuation methodologies, significant assumptions, fair value hierarchy classifications and changes in fair value is included in Note 3, Fair Value Measurements. For the convertible notes, Note 5 also includes the relationship between the aggregate fair value and the unpaid principal balance as required by ASC 825. </w:t>
      </w:r>
    </w:p>
    <w:p>
      <w:pPr>
        <w:pStyle w:val="TextBody"/>
        <w:bidi w:val="0"/>
        <w:spacing w:before="120" w:after="0"/>
        <w:jc w:val="left"/>
        <w:rPr>
          <w:rFonts w:ascii="Times New Roman" w:hAnsi="Times New Roman"/>
          <w:sz w:val="20"/>
        </w:rPr>
      </w:pPr>
      <w:r>
        <w:rPr>
          <w:rFonts w:ascii="Times New Roman" w:hAnsi="Times New Roman"/>
          <w:b/>
          <w:sz w:val="20"/>
        </w:rPr>
        <w:t>Redeemable Convertible Preferred Stock</w:t>
      </w:r>
      <w:r>
        <w:rPr>
          <w:rFonts w:ascii="Times New Roman" w:hAnsi="Times New Roman"/>
          <w:sz w:val="20"/>
        </w:rPr>
        <w:t xml:space="preserve">—The redeemable convertible preferred stock is recorded outside of permanent equity because while it is not mandatorily redeemable, in certain events which are not solely within the Company’s control, such as a merger, acquisition, or sale of all or substantially all of the Company’s assets (each, a “Deemed Liquidation Event”), the redeemable convertible preferred stock may become redeemable. The Company has not adjusted the carrying values of the redeemable convertible preferred stock to its liquidation value because a deemed liquidation event obligating the Company to pay the liquidation preferences to holders of shares of redeemable convertible preferred stock is not probable of occurring as of March 31, 2026. Subsequent adjustments to the carrying values of redeemable convertible preferred stocks to the liquidation value will be made only when it becomes probable that such a deemed liquidation event will occur. </w:t>
      </w:r>
    </w:p>
    <w:p>
      <w:pPr>
        <w:pStyle w:val="TextBody"/>
        <w:bidi w:val="0"/>
        <w:spacing w:before="120" w:after="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—The measurement of stock-based compensation expense is based on the estimated fair value of the awards on the date of grant.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stock-based compensation expense for stock option grants with only service conditions on a straight-line basis over the requisite service period of the individual grants, which is generally the vesting period. Generally, stock options fully vest four years from the grant date and have a term of 10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the effect of forfeitures in stock-based compensation expense based on actual forfeitures when they occur.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shares of common stock underlying stock options has historically been determined by the board of directors (the “Board”), with input from management and contemporaneous third-party valuations, as there was no public market for the common stock. Given the absence of a public trading market for the Company’s common stock, and in accordance with the American Institute of Certified Public Accountants Practice Aid, </w:t>
      </w:r>
      <w:r>
        <w:rPr>
          <w:rFonts w:ascii="Times New Roman" w:hAnsi="Times New Roman"/>
          <w:i/>
          <w:sz w:val="20"/>
        </w:rPr>
        <w:t>Valuation of Privately Held Company Equity Securities Issued as Compensation</w:t>
      </w:r>
      <w:r>
        <w:rPr>
          <w:rFonts w:ascii="Times New Roman" w:hAnsi="Times New Roman"/>
          <w:sz w:val="20"/>
        </w:rPr>
        <w:t xml:space="preserve">, the Board exercised reasonable judgment and considered numerous objective and subjective factors to determine the best estimate of the fair value of the Company’s common stock at each option grant date. </w:t>
      </w:r>
    </w:p>
    <w:p>
      <w:pPr>
        <w:pStyle w:val="TextBody"/>
        <w:bidi w:val="0"/>
        <w:spacing w:before="12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deferred tax assets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it is determined that the Company would be able to realize these deferred tax assets in the future in excess of their net recorded amount, an adjustment would be made to the deferred tax asset valuation allowance, which would reduce the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a two-step process: (1) determine whether it is more likely than not that the tax positions will be sustained on the basis of the technical merits of the position and (2) for those tax positions that meet the more-likely-than-not recognition threshold, recognize the largest amount of tax benefit that is more than 50 percent likely to be realized upon ultimate settlement with the related tax authority. </w:t>
      </w:r>
    </w:p>
    <w:p>
      <w:pPr>
        <w:pStyle w:val="TextBody"/>
        <w:bidi w:val="0"/>
        <w:spacing w:before="120" w:after="0"/>
        <w:jc w:val="left"/>
        <w:rPr>
          <w:rFonts w:ascii="Times New Roman" w:hAnsi="Times New Roman"/>
          <w:sz w:val="20"/>
        </w:rPr>
      </w:pPr>
      <w:r>
        <w:rPr>
          <w:rFonts w:ascii="Times New Roman" w:hAnsi="Times New Roman"/>
          <w:b/>
          <w:sz w:val="20"/>
        </w:rPr>
        <w:t>Accounting Standards Updates - Recently Adopted</w:t>
      </w:r>
      <w:r>
        <w:rPr>
          <w:rFonts w:ascii="Times New Roman" w:hAnsi="Times New Roman"/>
          <w:sz w:val="20"/>
        </w:rPr>
        <w:t xml:space="preserve">—In December 2023, the FASB issued ASU No. 2023-09, Income Taxes (Topic 740): </w:t>
      </w:r>
      <w:r>
        <w:rPr>
          <w:rFonts w:ascii="Times New Roman" w:hAnsi="Times New Roman"/>
          <w:i/>
          <w:sz w:val="20"/>
        </w:rPr>
        <w:t>Improvements to Income Tax Disclosures</w:t>
      </w:r>
      <w:r>
        <w:rPr>
          <w:rFonts w:ascii="Times New Roman" w:hAnsi="Times New Roman"/>
          <w:sz w:val="20"/>
        </w:rPr>
        <w:t xml:space="preserve">,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The Company has adopted ASU 2023-09 for the year ended December 31, 2025. The adoption of ASU 2023-09 had no impact to the Company’s financial position, results of operations,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Accounting Standards Updates - Not Yet Adopted</w:t>
      </w:r>
      <w:r>
        <w:rPr>
          <w:rFonts w:ascii="Times New Roman" w:hAnsi="Times New Roman"/>
          <w:sz w:val="20"/>
        </w:rPr>
        <w:t>—In November 2024, the FASB issued </w:t>
      </w:r>
      <w:r>
        <w:rPr>
          <w:rFonts w:ascii="Times New Roman" w:hAnsi="Times New Roman"/>
          <w:i/>
          <w:sz w:val="20"/>
        </w:rPr>
        <w:t>ASU 2024-03</w:t>
      </w:r>
      <w:r>
        <w:rPr>
          <w:rFonts w:ascii="Times New Roman" w:hAnsi="Times New Roman"/>
          <w:sz w:val="20"/>
        </w:rPr>
        <w:t>, </w:t>
      </w:r>
      <w:r>
        <w:rPr>
          <w:rFonts w:ascii="Times New Roman" w:hAnsi="Times New Roman"/>
          <w:i/>
          <w:sz w:val="20"/>
        </w:rPr>
        <w:t>Income Statement—Reporting Comprehensive Income (Subtopic 220-40): Expense Disaggregation Disclosures</w:t>
      </w:r>
      <w:r>
        <w:rPr>
          <w:rFonts w:ascii="Times New Roman" w:hAnsi="Times New Roman"/>
          <w:sz w:val="20"/>
        </w:rPr>
        <w:t xml:space="preserve">. This update requires entities to disaggregate operating expenses into specific categories, such as salaries and wages, depreciation, and amortization, to provide enhanced transparency into the nature and function of expenses. Accounting Standards Update 2024-03 is effective for fiscal years beginning after December 15, 2026, with early adoption permitted. Accounting Standards Update 2024-03 may be applied retrospectively or prospectively. The Company is evaluating the disclosure requirements related to the new standard. </w:t>
      </w:r>
    </w:p>
    <w:p>
      <w:pPr>
        <w:pStyle w:val="TextBody"/>
        <w:bidi w:val="0"/>
        <w:spacing w:before="120" w:after="0"/>
        <w:jc w:val="left"/>
        <w:rPr>
          <w:rFonts w:ascii="Times New Roman" w:hAnsi="Times New Roman"/>
          <w:sz w:val="20"/>
        </w:rPr>
      </w:pPr>
      <w:r>
        <w:rPr>
          <w:rFonts w:ascii="Times New Roman" w:hAnsi="Times New Roman"/>
          <w:sz w:val="20"/>
        </w:rPr>
        <w:t>In September 2025, the FASB issued </w:t>
      </w:r>
      <w:r>
        <w:rPr>
          <w:rFonts w:ascii="Times New Roman" w:hAnsi="Times New Roman"/>
          <w:i/>
          <w:sz w:val="20"/>
        </w:rPr>
        <w:t>ASU 2025-06, Intangibles—Goodwill and Other—Internal-Use Software (Subtopic 350-40): Accounting for and Disclosure of Software Costs</w:t>
      </w:r>
      <w:r>
        <w:rPr>
          <w:rFonts w:ascii="Times New Roman" w:hAnsi="Times New Roman"/>
          <w:sz w:val="20"/>
        </w:rPr>
        <w:t xml:space="preserve"> (“ASU 2025-06”), which amends certain aspects of the accounting for and disclosure of internal-use software costs. ASU 2025-06 is effective for annual reporting periods beginning with the year ending December 31, 2028, with early adoption permitted. The Company is evaluating the effect that adoption of ASU 2025-06 will have on its financial statements and related disclosures.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believe that any other recently issued, but not yet effective accounting pronouncements, if adopted, would have a material impact on our financial statements or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1—Valuations based on quoted prices in active markets for identical assets or liabilities that an entity has the ability to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3—Valuations based on inputs that are supported by little or no market activity and that are significant to the fair value of the assets or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primarily of money market funds, which are measured at fair value using quoted prices in active markets and are therefore classified as Level 1 within the fair value hierarchy. The carrying values of the Company’s prepaid expenses, accounts payable and accrued expenses approximate their fair values due to their relatively short maturity periods. The Company has elected the fair value option for its convertible notes, which are remeasured at fair value at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date, and classified within Level 3 of the fair value hierarchy because the valuation incorporates significant unobservable inputs, including assumptions regarding expected timing and probability of financing and liquidity events, market participant discount rates, and instrument-specific credit risk. Warrant liabilities are also measured at fair value on a recurring basis and are classified within Level 3 of the fair value hierarchy because their valuation similarly incorporates significant unobservable inputs.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transfers between fair value measurement levels during the period ended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Company’s financial instruments that were measured at fair value on a recurring basis for recognition or disclosure purposes as of March 31, 2026 and December 31, 2025 by level within the fair value hierarchy.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12"/>
        <w:gridCol w:w="245"/>
        <w:gridCol w:w="140"/>
        <w:gridCol w:w="803"/>
        <w:gridCol w:w="60"/>
        <w:gridCol w:w="245"/>
        <w:gridCol w:w="203"/>
        <w:gridCol w:w="566"/>
        <w:gridCol w:w="60"/>
        <w:gridCol w:w="245"/>
        <w:gridCol w:w="140"/>
        <w:gridCol w:w="1130"/>
        <w:gridCol w:w="60"/>
        <w:gridCol w:w="245"/>
        <w:gridCol w:w="140"/>
        <w:gridCol w:w="1129"/>
        <w:gridCol w:w="65"/>
      </w:tblGrid>
      <w:tr>
        <w:trPr/>
        <w:tc>
          <w:tcPr>
            <w:tcW w:w="391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1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5" w:type="dxa"/>
            <w:tcBorders/>
            <w:vAlign w:val="bottom"/>
          </w:tcPr>
          <w:p>
            <w:pPr>
              <w:pStyle w:val="TableContents"/>
              <w:bidi w:val="0"/>
              <w:spacing w:before="0" w:after="283"/>
              <w:jc w:val="left"/>
              <w:rPr/>
            </w:pPr>
            <w:r>
              <w:rPr/>
              <w:t> </w:t>
            </w:r>
          </w:p>
        </w:tc>
      </w:tr>
      <w:tr>
        <w:trPr/>
        <w:tc>
          <w:tcPr>
            <w:tcW w:w="39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12"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244,340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244,340</w:t>
            </w:r>
          </w:p>
        </w:tc>
        <w:tc>
          <w:tcPr>
            <w:tcW w:w="65" w:type="dxa"/>
            <w:tcBorders/>
            <w:vAlign w:val="bottom"/>
          </w:tcPr>
          <w:p>
            <w:pPr>
              <w:pStyle w:val="TableContents"/>
              <w:bidi w:val="0"/>
              <w:spacing w:before="0" w:after="283"/>
              <w:jc w:val="left"/>
              <w:rPr/>
            </w:pPr>
            <w:r>
              <w:rPr/>
              <w:t> </w:t>
            </w:r>
          </w:p>
        </w:tc>
      </w:tr>
      <w:tr>
        <w:trPr/>
        <w:tc>
          <w:tcPr>
            <w:tcW w:w="39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244,340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244,340</w:t>
            </w:r>
          </w:p>
        </w:tc>
        <w:tc>
          <w:tcPr>
            <w:tcW w:w="65" w:type="dxa"/>
            <w:tcBorders/>
            <w:shd w:fill="CCEEFF" w:val="clear"/>
            <w:vAlign w:val="bottom"/>
          </w:tcPr>
          <w:p>
            <w:pPr>
              <w:pStyle w:val="TableContents"/>
              <w:bidi w:val="0"/>
              <w:spacing w:before="0" w:after="283"/>
              <w:jc w:val="left"/>
              <w:rPr/>
            </w:pPr>
            <w:r>
              <w:rPr/>
              <w:t> </w:t>
            </w:r>
          </w:p>
        </w:tc>
      </w:tr>
      <w:tr>
        <w:trPr/>
        <w:tc>
          <w:tcPr>
            <w:tcW w:w="39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12"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10,446,729</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10,446,729</w:t>
            </w:r>
          </w:p>
        </w:tc>
        <w:tc>
          <w:tcPr>
            <w:tcW w:w="65" w:type="dxa"/>
            <w:tcBorders/>
            <w:shd w:fill="CCEEFF" w:val="clear"/>
            <w:vAlign w:val="bottom"/>
          </w:tcPr>
          <w:p>
            <w:pPr>
              <w:pStyle w:val="TableContents"/>
              <w:bidi w:val="0"/>
              <w:spacing w:before="0" w:after="283"/>
              <w:jc w:val="left"/>
              <w:rPr/>
            </w:pPr>
            <w:r>
              <w:rPr/>
              <w:t> </w:t>
            </w:r>
          </w:p>
        </w:tc>
      </w:tr>
      <w:tr>
        <w:trPr/>
        <w:tc>
          <w:tcPr>
            <w:tcW w:w="3912"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3,012,238</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3,012,238</w:t>
            </w:r>
          </w:p>
        </w:tc>
        <w:tc>
          <w:tcPr>
            <w:tcW w:w="65" w:type="dxa"/>
            <w:tcBorders/>
            <w:vAlign w:val="bottom"/>
          </w:tcPr>
          <w:p>
            <w:pPr>
              <w:pStyle w:val="TableContents"/>
              <w:bidi w:val="0"/>
              <w:spacing w:before="0" w:after="283"/>
              <w:jc w:val="left"/>
              <w:rPr/>
            </w:pPr>
            <w:r>
              <w:rPr/>
              <w:t> </w:t>
            </w:r>
          </w:p>
        </w:tc>
      </w:tr>
      <w:tr>
        <w:trPr/>
        <w:tc>
          <w:tcPr>
            <w:tcW w:w="39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13,458,967</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13,458,967</w:t>
            </w:r>
          </w:p>
        </w:tc>
        <w:tc>
          <w:tcPr>
            <w:tcW w:w="65" w:type="dxa"/>
            <w:tcBorders/>
            <w:shd w:fill="CCEEFF" w:val="clear"/>
            <w:vAlign w:val="bottom"/>
          </w:tcPr>
          <w:p>
            <w:pPr>
              <w:pStyle w:val="TableContents"/>
              <w:bidi w:val="0"/>
              <w:spacing w:before="0" w:after="283"/>
              <w:jc w:val="left"/>
              <w:rPr/>
            </w:pPr>
            <w:r>
              <w:rPr/>
              <w:t> </w:t>
            </w:r>
          </w:p>
        </w:tc>
      </w:tr>
      <w:tr>
        <w:trPr/>
        <w:tc>
          <w:tcPr>
            <w:tcW w:w="39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1"/>
        <w:gridCol w:w="243"/>
        <w:gridCol w:w="140"/>
        <w:gridCol w:w="803"/>
        <w:gridCol w:w="60"/>
        <w:gridCol w:w="243"/>
        <w:gridCol w:w="203"/>
        <w:gridCol w:w="566"/>
        <w:gridCol w:w="60"/>
        <w:gridCol w:w="243"/>
        <w:gridCol w:w="140"/>
        <w:gridCol w:w="1129"/>
        <w:gridCol w:w="60"/>
        <w:gridCol w:w="243"/>
        <w:gridCol w:w="140"/>
        <w:gridCol w:w="1129"/>
        <w:gridCol w:w="65"/>
      </w:tblGrid>
      <w:tr>
        <w:trPr/>
        <w:tc>
          <w:tcPr>
            <w:tcW w:w="3921"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15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458,038</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458,038</w:t>
            </w:r>
          </w:p>
        </w:tc>
        <w:tc>
          <w:tcPr>
            <w:tcW w:w="65"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458,038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458,038</w:t>
            </w:r>
          </w:p>
        </w:tc>
        <w:tc>
          <w:tcPr>
            <w:tcW w:w="65" w:type="dxa"/>
            <w:tcBorders/>
            <w:shd w:fill="CCEEFF" w:val="clear"/>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8,492,726</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8,492,726</w:t>
            </w:r>
          </w:p>
        </w:tc>
        <w:tc>
          <w:tcPr>
            <w:tcW w:w="65" w:type="dxa"/>
            <w:tcBorders/>
            <w:shd w:fill="CCEEFF" w:val="clear"/>
            <w:vAlign w:val="bottom"/>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3,183,628</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3,183,628</w:t>
            </w:r>
          </w:p>
        </w:tc>
        <w:tc>
          <w:tcPr>
            <w:tcW w:w="65"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11,676,354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11,676,354</w:t>
            </w:r>
          </w:p>
        </w:tc>
        <w:tc>
          <w:tcPr>
            <w:tcW w:w="65" w:type="dxa"/>
            <w:tcBorders/>
            <w:shd w:fill="CCEEFF" w:val="clear"/>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convertible notes and warrant liabilities are classified within Level 3 of the fair value hierarchy because their valuations incorporate significant unobservable inputs. Refer to Note 2, Summary of Significant Accounting Policies, for a discussion of the valuation methodologies and significant assumptions used in estimating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changes in the Company’s Level 3 financial liabilities measured at fair value on a recurring basis as of March 31, 2025 and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90"/>
        <w:gridCol w:w="313"/>
        <w:gridCol w:w="232"/>
        <w:gridCol w:w="1664"/>
        <w:gridCol w:w="60"/>
        <w:gridCol w:w="313"/>
        <w:gridCol w:w="150"/>
        <w:gridCol w:w="875"/>
        <w:gridCol w:w="158"/>
      </w:tblGrid>
      <w:tr>
        <w:trPr/>
        <w:tc>
          <w:tcPr>
            <w:tcW w:w="399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Fair Value of Liabilities</w:t>
            </w:r>
          </w:p>
        </w:tc>
        <w:tc>
          <w:tcPr>
            <w:tcW w:w="313"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 Notes</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158"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31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2,462,714</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863,694</w:t>
            </w:r>
          </w:p>
        </w:tc>
        <w:tc>
          <w:tcPr>
            <w:tcW w:w="158"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31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128,880</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(84,560</w:t>
            </w:r>
          </w:p>
        </w:tc>
        <w:tc>
          <w:tcPr>
            <w:tcW w:w="158"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2025</w:t>
            </w:r>
          </w:p>
        </w:tc>
        <w:tc>
          <w:tcPr>
            <w:tcW w:w="313"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2,591,595</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779,134</w:t>
            </w:r>
          </w:p>
        </w:tc>
        <w:tc>
          <w:tcPr>
            <w:tcW w:w="158" w:type="dxa"/>
            <w:tcBorders/>
            <w:shd w:fill="CCEEFF" w:val="clear"/>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6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3"/>
        <w:gridCol w:w="275"/>
        <w:gridCol w:w="209"/>
        <w:gridCol w:w="1725"/>
        <w:gridCol w:w="60"/>
        <w:gridCol w:w="275"/>
        <w:gridCol w:w="140"/>
        <w:gridCol w:w="1030"/>
        <w:gridCol w:w="168"/>
      </w:tblGrid>
      <w:tr>
        <w:trPr/>
        <w:tc>
          <w:tcPr>
            <w:tcW w:w="3873"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Fair Value of Liabilities</w:t>
            </w:r>
          </w:p>
        </w:tc>
        <w:tc>
          <w:tcPr>
            <w:tcW w:w="275" w:type="dxa"/>
            <w:tcBorders/>
            <w:vAlign w:val="bottom"/>
          </w:tcPr>
          <w:p>
            <w:pPr>
              <w:pStyle w:val="TableContents"/>
              <w:bidi w:val="0"/>
              <w:spacing w:before="0" w:after="283"/>
              <w:jc w:val="left"/>
              <w:rPr/>
            </w:pPr>
            <w:r>
              <w:rPr/>
              <w:t>  </w:t>
            </w:r>
          </w:p>
        </w:tc>
        <w:tc>
          <w:tcPr>
            <w:tcW w:w="1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 Notes</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168"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7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8,492,726</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3,183,628</w:t>
            </w:r>
          </w:p>
        </w:tc>
        <w:tc>
          <w:tcPr>
            <w:tcW w:w="168" w:type="dxa"/>
            <w:tcBorders/>
            <w:shd w:fill="CCEEFF" w:val="clear"/>
            <w:vAlign w:val="bottom"/>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at fair value</w:t>
            </w:r>
          </w:p>
        </w:tc>
        <w:tc>
          <w:tcPr>
            <w:tcW w:w="27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1,007,522</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225,928</w:t>
            </w:r>
          </w:p>
        </w:tc>
        <w:tc>
          <w:tcPr>
            <w:tcW w:w="168" w:type="dxa"/>
            <w:tcBorders/>
            <w:vAlign w:val="bottom"/>
          </w:tcPr>
          <w:p>
            <w:pPr>
              <w:pStyle w:val="TableContents"/>
              <w:bidi w:val="0"/>
              <w:spacing w:before="0" w:after="283"/>
              <w:jc w:val="left"/>
              <w:rPr/>
            </w:pPr>
            <w:r>
              <w:rPr/>
              <w:t> </w:t>
            </w:r>
          </w:p>
        </w:tc>
      </w:tr>
      <w:tr>
        <w:trPr/>
        <w:tc>
          <w:tcPr>
            <w:tcW w:w="3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27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946,481</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(397,318</w:t>
            </w:r>
          </w:p>
        </w:tc>
        <w:tc>
          <w:tcPr>
            <w:tcW w:w="168" w:type="dxa"/>
            <w:tcBorders/>
            <w:shd w:fill="CCEEFF" w:val="clear"/>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87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27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10,446,729</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3,012,238</w:t>
            </w:r>
          </w:p>
        </w:tc>
        <w:tc>
          <w:tcPr>
            <w:tcW w:w="168" w:type="dxa"/>
            <w:tcBorders/>
            <w:vAlign w:val="bottom"/>
          </w:tcPr>
          <w:p>
            <w:pPr>
              <w:pStyle w:val="TableContents"/>
              <w:bidi w:val="0"/>
              <w:spacing w:before="0" w:after="283"/>
              <w:jc w:val="left"/>
              <w:rPr/>
            </w:pPr>
            <w:r>
              <w:rPr/>
              <w:t> </w:t>
            </w:r>
          </w:p>
        </w:tc>
      </w:tr>
      <w:tr>
        <w:trPr/>
        <w:tc>
          <w:tcPr>
            <w:tcW w:w="387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the convertible notes and warrants, are accounted for as separate units of account and each measured at fair value, the aggregate fair value of the instruments issued at inception exceeded the cash proceeds received. There were no issuances of convertible notes during the quarter ended March 31, 2025. For the convertible notes issued during the quarter ended March 31, 2026, the Company recognized a loss at issuance within non-operating expense, net. The aggregate initial fair value of the convertible notes and warrants exceeded the cash proceeds received by $708,618, which a $578,822 loss was recorded in the change in fair value of notes and a $129,796 loss was recorded within change in fair value of warrants within non-operating expense, net upon issuance in the accompanying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significant assumptions related to the change in fair value for the Convertible Notes and Warrants for the three months ended March 31, 2026 and March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9"/>
        <w:gridCol w:w="286"/>
        <w:gridCol w:w="60"/>
        <w:gridCol w:w="1158"/>
        <w:gridCol w:w="275"/>
        <w:gridCol w:w="190"/>
        <w:gridCol w:w="60"/>
        <w:gridCol w:w="1158"/>
        <w:gridCol w:w="279"/>
      </w:tblGrid>
      <w:tr>
        <w:trPr/>
        <w:tc>
          <w:tcPr>
            <w:tcW w:w="4289"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89"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279"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 to Next Equity Financing (in years)</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0.00 - 0.17</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1.53 - 1.78</w:t>
            </w:r>
          </w:p>
        </w:tc>
        <w:tc>
          <w:tcPr>
            <w:tcW w:w="279" w:type="dxa"/>
            <w:tcBorders/>
            <w:shd w:fill="CCEEFF" w:val="clear"/>
            <w:vAlign w:val="bottom"/>
          </w:tcPr>
          <w:p>
            <w:pPr>
              <w:pStyle w:val="TableContents"/>
              <w:bidi w:val="0"/>
              <w:spacing w:before="0" w:after="283"/>
              <w:jc w:val="left"/>
              <w:rPr/>
            </w:pPr>
            <w:r>
              <w:rPr/>
              <w:t> </w:t>
            </w:r>
          </w:p>
        </w:tc>
      </w:tr>
      <w:tr>
        <w:trPr/>
        <w:tc>
          <w:tcPr>
            <w:tcW w:w="4289" w:type="dxa"/>
            <w:tcBorders/>
          </w:tcPr>
          <w:p>
            <w:pPr>
              <w:pStyle w:val="TableContents"/>
              <w:bidi w:val="0"/>
              <w:spacing w:before="0" w:after="0"/>
              <w:jc w:val="left"/>
              <w:rPr>
                <w:rFonts w:ascii="Times New Roman" w:hAnsi="Times New Roman"/>
                <w:sz w:val="20"/>
              </w:rPr>
            </w:pPr>
            <w:r>
              <w:rPr>
                <w:rFonts w:ascii="Times New Roman" w:hAnsi="Times New Roman"/>
                <w:sz w:val="20"/>
              </w:rPr>
              <w:t>Probability of Next Equity Financing</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0.0 - 75.0</w:t>
            </w:r>
          </w:p>
        </w:tc>
        <w:tc>
          <w:tcPr>
            <w:tcW w:w="27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30.0</w:t>
            </w:r>
          </w:p>
        </w:tc>
        <w:tc>
          <w:tcPr>
            <w:tcW w:w="279"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37.2 - 38.6</w:t>
            </w:r>
          </w:p>
        </w:tc>
        <w:tc>
          <w:tcPr>
            <w:tcW w:w="27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36.6 - 38.2</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Prepaid Expenses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consist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8"/>
        <w:gridCol w:w="284"/>
        <w:gridCol w:w="159"/>
        <w:gridCol w:w="950"/>
        <w:gridCol w:w="60"/>
        <w:gridCol w:w="284"/>
        <w:gridCol w:w="211"/>
        <w:gridCol w:w="1275"/>
        <w:gridCol w:w="64"/>
      </w:tblGrid>
      <w:tr>
        <w:trPr/>
        <w:tc>
          <w:tcPr>
            <w:tcW w:w="446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6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09" w:type="dxa"/>
            <w:gridSpan w:val="2"/>
            <w:tcBorders/>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expenses</w:t>
            </w:r>
          </w:p>
        </w:tc>
        <w:tc>
          <w:tcPr>
            <w:tcW w:w="28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76,580</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127,317</w:t>
            </w:r>
          </w:p>
        </w:tc>
        <w:tc>
          <w:tcPr>
            <w:tcW w:w="64" w:type="dxa"/>
            <w:tcBorders/>
            <w:shd w:fill="CCEEFF" w:val="clear"/>
            <w:vAlign w:val="bottom"/>
          </w:tcPr>
          <w:p>
            <w:pPr>
              <w:pStyle w:val="TableContents"/>
              <w:bidi w:val="0"/>
              <w:spacing w:before="0" w:after="283"/>
              <w:jc w:val="left"/>
              <w:rPr/>
            </w:pPr>
            <w:r>
              <w:rPr/>
              <w:t> </w:t>
            </w:r>
          </w:p>
        </w:tc>
      </w:tr>
      <w:tr>
        <w:trPr/>
        <w:tc>
          <w:tcPr>
            <w:tcW w:w="4468" w:type="dxa"/>
            <w:tcBorders/>
          </w:tcPr>
          <w:p>
            <w:pPr>
              <w:pStyle w:val="TableContents"/>
              <w:bidi w:val="0"/>
              <w:spacing w:before="0" w:after="0"/>
              <w:jc w:val="left"/>
              <w:rPr>
                <w:rFonts w:ascii="Times New Roman" w:hAnsi="Times New Roman"/>
                <w:sz w:val="20"/>
              </w:rPr>
            </w:pPr>
            <w:r>
              <w:rPr>
                <w:rFonts w:ascii="Times New Roman" w:hAnsi="Times New Roman"/>
                <w:sz w:val="20"/>
              </w:rPr>
              <w:t>Prepaid clinical study expenses</w:t>
            </w:r>
          </w:p>
        </w:tc>
        <w:tc>
          <w:tcPr>
            <w:tcW w:w="28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68,783</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74,438</w:t>
            </w:r>
          </w:p>
        </w:tc>
        <w:tc>
          <w:tcPr>
            <w:tcW w:w="64" w:type="dxa"/>
            <w:tcBorders/>
            <w:vAlign w:val="bottom"/>
          </w:tcPr>
          <w:p>
            <w:pPr>
              <w:pStyle w:val="TableContents"/>
              <w:bidi w:val="0"/>
              <w:spacing w:before="0" w:after="283"/>
              <w:jc w:val="left"/>
              <w:rPr/>
            </w:pPr>
            <w:r>
              <w:rPr/>
              <w:t> </w:t>
            </w:r>
          </w:p>
        </w:tc>
      </w:tr>
      <w:tr>
        <w:trPr/>
        <w:tc>
          <w:tcPr>
            <w:tcW w:w="4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8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36,179</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51,684</w:t>
            </w:r>
          </w:p>
        </w:tc>
        <w:tc>
          <w:tcPr>
            <w:tcW w:w="64" w:type="dxa"/>
            <w:tcBorders/>
            <w:shd w:fill="CCEEFF" w:val="clear"/>
            <w:vAlign w:val="bottom"/>
          </w:tcPr>
          <w:p>
            <w:pPr>
              <w:pStyle w:val="TableContents"/>
              <w:bidi w:val="0"/>
              <w:spacing w:before="0" w:after="283"/>
              <w:jc w:val="left"/>
              <w:rPr/>
            </w:pPr>
            <w:r>
              <w:rPr/>
              <w:t> </w:t>
            </w:r>
          </w:p>
        </w:tc>
      </w:tr>
      <w:tr>
        <w:trPr/>
        <w:tc>
          <w:tcPr>
            <w:tcW w:w="4468" w:type="dxa"/>
            <w:tcBorders/>
          </w:tcPr>
          <w:p>
            <w:pPr>
              <w:pStyle w:val="TableContents"/>
              <w:bidi w:val="0"/>
              <w:spacing w:before="0" w:after="0"/>
              <w:jc w:val="left"/>
              <w:rPr>
                <w:rFonts w:ascii="Times New Roman" w:hAnsi="Times New Roman"/>
                <w:sz w:val="20"/>
              </w:rPr>
            </w:pPr>
            <w:r>
              <w:rPr>
                <w:rFonts w:ascii="Times New Roman" w:hAnsi="Times New Roman"/>
                <w:sz w:val="20"/>
              </w:rPr>
              <w:t>Other prepaid expenses</w:t>
            </w:r>
          </w:p>
        </w:tc>
        <w:tc>
          <w:tcPr>
            <w:tcW w:w="28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64,611</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76,991</w:t>
            </w:r>
          </w:p>
        </w:tc>
        <w:tc>
          <w:tcPr>
            <w:tcW w:w="64" w:type="dxa"/>
            <w:tcBorders/>
            <w:vAlign w:val="bottom"/>
          </w:tcPr>
          <w:p>
            <w:pPr>
              <w:pStyle w:val="TableContents"/>
              <w:bidi w:val="0"/>
              <w:spacing w:before="0" w:after="283"/>
              <w:jc w:val="left"/>
              <w:rPr/>
            </w:pPr>
            <w:r>
              <w:rPr/>
              <w:t> </w:t>
            </w:r>
          </w:p>
        </w:tc>
      </w:tr>
      <w:tr>
        <w:trPr/>
        <w:tc>
          <w:tcPr>
            <w:tcW w:w="446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50" w:type="dxa"/>
            <w:tcBorders/>
            <w:shd w:fill="CCEEFF" w:val="clear"/>
            <w:vAlign w:val="bottom"/>
          </w:tcPr>
          <w:p>
            <w:pPr>
              <w:pStyle w:val="TableContents"/>
              <w:bidi w:val="0"/>
              <w:spacing w:before="0" w:after="283"/>
              <w:jc w:val="right"/>
              <w:rPr/>
            </w:pPr>
            <w:r>
              <w:rPr/>
              <w:t>246,153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330,430</w:t>
            </w:r>
          </w:p>
        </w:tc>
        <w:tc>
          <w:tcPr>
            <w:tcW w:w="64" w:type="dxa"/>
            <w:tcBorders/>
            <w:shd w:fill="CCEEFF" w:val="clear"/>
            <w:vAlign w:val="bottom"/>
          </w:tcPr>
          <w:p>
            <w:pPr>
              <w:pStyle w:val="TableContents"/>
              <w:bidi w:val="0"/>
              <w:spacing w:before="0" w:after="283"/>
              <w:jc w:val="left"/>
              <w:rPr/>
            </w:pPr>
            <w:r>
              <w:rPr/>
              <w:t> </w:t>
            </w:r>
          </w:p>
        </w:tc>
      </w:tr>
      <w:tr>
        <w:trPr/>
        <w:tc>
          <w:tcPr>
            <w:tcW w:w="446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92"/>
        <w:gridCol w:w="282"/>
        <w:gridCol w:w="159"/>
        <w:gridCol w:w="942"/>
        <w:gridCol w:w="60"/>
        <w:gridCol w:w="282"/>
        <w:gridCol w:w="210"/>
        <w:gridCol w:w="1265"/>
        <w:gridCol w:w="63"/>
      </w:tblGrid>
      <w:tr>
        <w:trPr/>
        <w:tc>
          <w:tcPr>
            <w:tcW w:w="4492"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9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28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162,752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273,503</w:t>
            </w:r>
          </w:p>
        </w:tc>
        <w:tc>
          <w:tcPr>
            <w:tcW w:w="63" w:type="dxa"/>
            <w:tcBorders/>
            <w:shd w:fill="CCEEFF" w:val="clear"/>
            <w:vAlign w:val="bottom"/>
          </w:tcPr>
          <w:p>
            <w:pPr>
              <w:pStyle w:val="TableContents"/>
              <w:bidi w:val="0"/>
              <w:spacing w:before="0" w:after="283"/>
              <w:jc w:val="left"/>
              <w:rPr/>
            </w:pPr>
            <w:r>
              <w:rPr/>
              <w:t> </w:t>
            </w:r>
          </w:p>
        </w:tc>
      </w:tr>
      <w:tr>
        <w:trPr/>
        <w:tc>
          <w:tcPr>
            <w:tcW w:w="4492"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28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191,018</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155,704</w:t>
            </w:r>
          </w:p>
        </w:tc>
        <w:tc>
          <w:tcPr>
            <w:tcW w:w="63" w:type="dxa"/>
            <w:tcBorders/>
            <w:vAlign w:val="bottom"/>
          </w:tcPr>
          <w:p>
            <w:pPr>
              <w:pStyle w:val="TableContents"/>
              <w:bidi w:val="0"/>
              <w:spacing w:before="0" w:after="283"/>
              <w:jc w:val="left"/>
              <w:rPr/>
            </w:pPr>
            <w:r>
              <w:rPr/>
              <w:t> </w:t>
            </w:r>
          </w:p>
        </w:tc>
      </w:tr>
      <w:tr>
        <w:trPr/>
        <w:tc>
          <w:tcPr>
            <w:tcW w:w="4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8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241,736</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92" w:type="dxa"/>
            <w:tcBorders/>
          </w:tcPr>
          <w:p>
            <w:pPr>
              <w:pStyle w:val="TableContents"/>
              <w:bidi w:val="0"/>
              <w:spacing w:before="0" w:after="0"/>
              <w:jc w:val="left"/>
              <w:rPr>
                <w:rFonts w:ascii="Times New Roman" w:hAnsi="Times New Roman"/>
                <w:sz w:val="20"/>
              </w:rPr>
            </w:pPr>
            <w:r>
              <w:rPr>
                <w:rFonts w:ascii="Times New Roman" w:hAnsi="Times New Roman"/>
                <w:sz w:val="20"/>
              </w:rPr>
              <w:t>Accrued other liabilities</w:t>
            </w:r>
          </w:p>
        </w:tc>
        <w:tc>
          <w:tcPr>
            <w:tcW w:w="28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24,014</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c>
          <w:tcPr>
            <w:tcW w:w="449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619,520</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449,207</w:t>
            </w:r>
          </w:p>
        </w:tc>
        <w:tc>
          <w:tcPr>
            <w:tcW w:w="63" w:type="dxa"/>
            <w:tcBorders/>
            <w:shd w:fill="CCEEFF" w:val="clear"/>
            <w:vAlign w:val="bottom"/>
          </w:tcPr>
          <w:p>
            <w:pPr>
              <w:pStyle w:val="TableContents"/>
              <w:bidi w:val="0"/>
              <w:spacing w:before="0" w:after="283"/>
              <w:jc w:val="left"/>
              <w:rPr/>
            </w:pPr>
            <w:r>
              <w:rPr/>
              <w:t> </w:t>
            </w:r>
          </w:p>
        </w:tc>
      </w:tr>
      <w:tr>
        <w:trPr/>
        <w:tc>
          <w:tcPr>
            <w:tcW w:w="4492"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NOTES AND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October 2024, the Company entered into a Convertible Note and Warrant Purchase Agreement pursuant to which it issued convertible promissory notes with an aggregate principal balance of $2,750,000 (the “2024 Convertible Notes”), which had a contractual maturity date of October 11, 2026. The notes accrued interest at 4.21% per annum and were convertible into equity securities of the Company upon the occurrence of certain financing, liquidity, maturity, and other specified events. Concurrently with the issuance of the 2024 Convertible Notes, the Company issued freestanding warrants to purchase equity securities of the Company. The Company elected the fair value option under ASC 825 for the 2024 Convertible Notes upon issuance. Accordingly, the 2024 Convertible Notes are recorded at fair value at issuance and remeasured to fair value at each reporting date, with changes in fair value recognized in earnings. The Company has elected to present changes in fair value, including amounts attributable to accrued interest, non-operating expense, net. Because the 2024 Convertible Notes and warrants are accounted for as separate units of account and each measured at fair value, the aggregate fair value of the instruments issued at inception exceeded the cash proceeds received. As a result, the Company recognized a loss within change in fair value of non-operating expense, net. The aggregate initial fair value of the 2024 Convertible Notes and warrants exceeded the cash proceeds received by $516,635, which a $366,444 loss was recorded in the change in fair value of notes and a $150,191 loss was recorded within change in fair value of warrants within non-operating expense net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June 2025 Exchange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Company exchanged the outstanding 2024 Convertible Notes for newly issued convertible notes (the “June 2025 Exchange”). The amended instruments (the “2025 Convertible Notes”) modified several key economic terms, including increasing the financing-event payout multiple from 1.0x to 1.43x, increasing the liquidation-event payout multiple from 3.0x to 4.0x, revising conversion mechanics through the introduction of valuation cap and discount-based features, and modifying certain conversion and liquidation participation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the June 2025 Exchange under ASC 470-50 and concluded that the amendments significantly modified the economics of the Convertible Notes, including revised financing and liquidation payout multiples, revised conversion pricing mechanics and enhanced participation rights. Accordingly, the June 2025 Exchange was accounted for as an extinguishment under ASC 470-50.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June 2025 Exchange, the Company recognized a loss on exchange of $1,501,535 representing the difference between the fair value of the 2025 Convertible Notes and the carrying value of the 2024 Convertible Notes. The Company concluded that the 2025 Convertible Notes remained eligible for the fair value option under ASC 825 as the amended conversion feature did not represent a substantial premium and elected the fair value option upon initial recognition for all 2025 Convertible Notes, including those issued in the June 2025 Exchange and those issued to investors in separate financing transactions. Accordingly, the Company continued to apply the fair value option, and no portion of the instruments was classified within stockholders’ deficit. The 2025 Convertible Notes were accounted for as a continuation of the 2024 Convertible Notes. Accordingly, any fees or other amounts exchanged directly between the Company and the noteholders as part of the modification adjusted the carrying amount of the Convertible Notes and third-party costs were recognized as expense as incurred. As of December 31, 2025, the 2025 Convertible Notes had a contractual maturity date of January 31, 2026 and were therefore classified as current liabilities in the accompanying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Amendments and February 2026 Exchange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June 2025 Exchange, the Company entered into a series of amendments to the convertible notes and related warrants. These amendments primarily consisted of maturity extensions and modifications to warrant coverage. The Company concluded that these amendments did not introduce new settlement outcomes or fundamentally change the economic characteristics of the convertible notes and therefore accounted for such amendments as modifications. Accordingly, the existing carrying value of the 2025 Convertible Notes was retained and no gain or loss was recognized as a result of the modifications.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in connection with the Company’s broader recapitalization and bridge financing transaction, the Company exchanged the outstanding 2025 Convertible Notes for newly issued 2026 Convertible Notes. The exchange primarily extended the maturity of the 2025 Convertible Notes while maintaining substantially similar payout structures and economic characteristics. The Company concluded that the exchange did not result in a fundamental change to the nature of the instrument and therefore accounted for the exchange as a modification. Accordingly, the existing carrying value of the 2025 Convertible Notes was retained, no extinguishment accounting was applied, and no gain or loss was recognized as a result of the modification. The Company further concluded that the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Convertible Notes remained eligible for the fair value option under ASC 825 and continued to be measured at fair value. The 2026 Convertible Notes were accounted for as a continuation of the 2025 Convertible Notes. Accordingly, any fees or other amounts exchanged directly between the Company and the noteholders as part of the modification adjusted the carrying amount of the Convertible Notes and third-party costs were recognized as expense as incurred.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February 2026 exchange was accounted for as a modification under ASC 470-50, the Company recognized $1,791,881 within the change in fair value of convertible notes included in non-operating expense, net in the accompanying statements of operations for the three months ended March 31, 2026. This amount reflects the difference between the fair value of the 2026 Convertible Notes immediately following the modification and the carrying value of the 2025 Convertible Notes immediately prior to the modification. Following the modification, the 2026 Convertible Notes continued to be measured at fair value under ASC 825, with subsequent changes in fair value recognized in earnings. As of March 31, 2026, the 2026 Convertible Notes had a contractual maturity date of May 31, 2026 and were therefore classified as current liabilities in the accompanying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warrants issued in connection with the convertible note financings are freestanding financial instruments. The warrants are exercisable for equity securities of the Company and are classified as liabilities under ASC 480 because they are exercisable into preferred stock that contains redemption features not solely within the Company’s control. Accordingly, the warrants are recorded as liabilities at fair value upon issuance and are subsequently remeasured at fair value at each reporting date, with changes in fair value recognized in earnings.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the Company amended certain warrant terms, including increasing warrants associated with the outstanding convertible notes. The amendment increased the fair value of the warrant liabilities. The Company concluded that the amendment did not significantly modify the economic characteristics of the related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the Company recognized a $128,880 loss related to changes in the fair value of convertible notes and a $84,560 gain related to changes in the fair value of warrant liabilities. During the three months ended March 31, 2026, the Company recognized a $845,400 gain related to the changes in fair value of convertible notes, $1,791,881 loss on the exchange of the 2025 convertible notes for 2026 convertible notes, and $397,318 gain related to changes in the fair value of warrant liabilities. All such amounts were recorded within non-operating expense in the Company’s statements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aggregate unpaid principal balance of the Convertible Notes compared with their aggregate fair value as of each balance sheet date, including the excess of fair value over unpaid principal: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8"/>
        <w:gridCol w:w="310"/>
        <w:gridCol w:w="181"/>
        <w:gridCol w:w="1458"/>
        <w:gridCol w:w="155"/>
        <w:gridCol w:w="275"/>
        <w:gridCol w:w="229"/>
        <w:gridCol w:w="1780"/>
        <w:gridCol w:w="159"/>
      </w:tblGrid>
      <w:tr>
        <w:trPr/>
        <w:tc>
          <w:tcPr>
            <w:tcW w:w="3208"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8"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0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3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 fair value</w:t>
            </w:r>
          </w:p>
        </w:tc>
        <w:tc>
          <w:tcPr>
            <w:tcW w:w="31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10,446,729</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8,492,726</w:t>
            </w:r>
          </w:p>
        </w:tc>
        <w:tc>
          <w:tcPr>
            <w:tcW w:w="159" w:type="dxa"/>
            <w:tcBorders/>
            <w:shd w:fill="CCEEFF" w:val="clear"/>
            <w:vAlign w:val="bottom"/>
          </w:tcPr>
          <w:p>
            <w:pPr>
              <w:pStyle w:val="TableContents"/>
              <w:bidi w:val="0"/>
              <w:spacing w:before="0" w:after="283"/>
              <w:jc w:val="left"/>
              <w:rPr/>
            </w:pPr>
            <w:r>
              <w:rPr/>
              <w:t> </w:t>
            </w:r>
          </w:p>
        </w:tc>
      </w:tr>
      <w:tr>
        <w:trPr/>
        <w:tc>
          <w:tcPr>
            <w:tcW w:w="3208" w:type="dxa"/>
            <w:tcBorders/>
          </w:tcPr>
          <w:p>
            <w:pPr>
              <w:pStyle w:val="TableContents"/>
              <w:bidi w:val="0"/>
              <w:spacing w:before="0" w:after="0"/>
              <w:jc w:val="left"/>
              <w:rPr>
                <w:rFonts w:ascii="Times New Roman" w:hAnsi="Times New Roman"/>
                <w:sz w:val="20"/>
              </w:rPr>
            </w:pPr>
            <w:r>
              <w:rPr>
                <w:rFonts w:ascii="Times New Roman" w:hAnsi="Times New Roman"/>
                <w:sz w:val="20"/>
              </w:rPr>
              <w:t>Unpaid convertible notes principal</w:t>
            </w:r>
          </w:p>
        </w:tc>
        <w:tc>
          <w:tcPr>
            <w:tcW w:w="31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(7,179,626</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(5,946,175</w:t>
            </w:r>
          </w:p>
        </w:tc>
        <w:tc>
          <w:tcPr>
            <w:tcW w:w="159" w:type="dxa"/>
            <w:tcBorders/>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excess over unpaid principal</w:t>
            </w:r>
          </w:p>
        </w:tc>
        <w:tc>
          <w:tcPr>
            <w:tcW w:w="31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3,267,103</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2,546,551</w:t>
            </w:r>
          </w:p>
        </w:tc>
        <w:tc>
          <w:tcPr>
            <w:tcW w:w="159" w:type="dxa"/>
            <w:tcBorders/>
            <w:shd w:fill="CCEEFF" w:val="clear"/>
            <w:vAlign w:val="bottom"/>
          </w:tcPr>
          <w:p>
            <w:pPr>
              <w:pStyle w:val="TableContents"/>
              <w:bidi w:val="0"/>
              <w:spacing w:before="0" w:after="283"/>
              <w:jc w:val="left"/>
              <w:rPr/>
            </w:pPr>
            <w:r>
              <w:rPr/>
              <w:t> </w:t>
            </w:r>
          </w:p>
        </w:tc>
      </w:tr>
      <w:tr>
        <w:trPr/>
        <w:tc>
          <w:tcPr>
            <w:tcW w:w="3208"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issued five series of Convertible Preferred Stock, Series A through Series E. </w:t>
      </w:r>
    </w:p>
    <w:p>
      <w:pPr>
        <w:pStyle w:val="TextBody"/>
        <w:bidi w:val="0"/>
        <w:spacing w:before="36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effected a 1-for-10 reverse stock split of its common stock and preferred stock in connection with a broader recapitalization transaction (see Note 10 – Subsequent Events for further details). All share and per share amounts presented in the accompanying financial statements and related notes have been retrospectively adjusted to reflect the reverse stock split for all periods presented. The reverse stock split did not affect the par value of the Company’s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offering, Recapitalization, and 2026 Bridge Financing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the Company completed a recapitalization transaction in connection with a bridge financing. The transaction included (i) a 1-for-10 reverse stock split, (ii) a rights offering and issuance of senior secured convertible notes, which included approximately $1,233,451 of new financing proceeds and the exchange of previously outstanding notes, (iii) amendments to the Company’s Certificate of Incorporation, and (iv) the exchange and conversion of certain outstanding preferred stock. The convertible notes issued in connection with the bridge financing are senior secured, bear interest at 7% per annum, mature on May 31, 2026, and are convertible into equity upon the consummation of a future financing, including at a discount to the financing price or subject to a valuation cap.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amended Certificate of Incorporation, holders of preferred stock were required to participate in the bridge financing on a specified pro rata basis in order to retain their preferred stock rights. Holders that participated exchanged their existing preferred stock for newly designated Series A-1, Series B-1, Series C-1, Series D-1 and Series E-1 Preferred Stock, while holders that did not participate were required to convert their preferred stock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reverse stock split, 2,892,378 shares of preferred stock were exchanged for 28,923,770 shares of Series 1 Preferred Stock and 7,943,633 shares of preferred stock were converted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mandatory conversion of preferred stock held by Non-Participating Investors as a conversion of equity instruments rather than an extinguishment. The mandatory conversion occurred pursuant to the amended Certificate of Incorporation as part of the February 2026 recapitalization and did not result in the issuance of substantive new rights or incremental consideration. Accordingly, the carrying amount of the converted preferred stock of $66,094,943 was reclassified to common stock and additional paid-in capital. No gain or loss, deemed dividend, deemed capital contribution, or adjustment to accumulated deficit was recognized in connection with the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preferred stock held by Participating Investors for Series A-1 through Series E-1 Preferred Stock was accounted for as a preferred stock modification. The Company concluded that the Rights Offering did not create a separately identifiable substantive freestanding right requiring separate accounting because investors did not have a meaningful economic choice between participation and non-participation, and the substantive economic rights of the Series 1 Preferred Stock remained substantially equivalent to those of the Prior Preferred Stock. Accordingly, no separate asset, equity instrument, deemed dividend, deemed capital contribution, or other transfer-of-value accounting was recognized in connection with the Rights Offering or the exchange of historical preferred stock for Series 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February 2026 recapitalization, the Company’s outstanding preferred stock consisted of Series A through Series E Preferred Stock, which remained outstanding as of December 31, 2025. In connection with the February 2026 recapitalization, participating holders exchanged those shares for Series A-1 through Series E-1 Preferred Stock, which remained outstanding as of March 31, 2026. The issuance of Series A-1 through Series E-1 Preferred Stock occurred solely through the exchange of existing preferred stock and did not result in the receipt of additional cash proceeds or the incurrence of additional issuance costs. Accordingly, the proceeds and issuance cost information presented below relates solely to the historical Series A through Series 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(i) the Convertible Preferred Stock outstanding as of March 31, 2026 and (ii) the historical Convertible Preferred Stock outstanding as of December 31, 2025, each reflecting the 1-for-10 reverse stock split effected in February 2026. </w:t>
      </w:r>
    </w:p>
    <w:p>
      <w:pPr>
        <w:pStyle w:val="TextBody"/>
        <w:bidi w:val="0"/>
        <w:spacing w:before="120" w:after="0"/>
        <w:jc w:val="left"/>
        <w:rPr>
          <w:rFonts w:ascii="Times New Roman" w:hAnsi="Times New Roman"/>
          <w:sz w:val="20"/>
        </w:rPr>
      </w:pPr>
      <w:r>
        <w:rPr>
          <w:rFonts w:ascii="Times New Roman" w:hAnsi="Times New Roman"/>
          <w:sz w:val="20"/>
          <w:u w:val="single"/>
        </w:rPr>
        <w:t>As of March 31, 2026:</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3"/>
        <w:gridCol w:w="160"/>
        <w:gridCol w:w="2059"/>
        <w:gridCol w:w="160"/>
        <w:gridCol w:w="388"/>
        <w:gridCol w:w="1250"/>
        <w:gridCol w:w="60"/>
        <w:gridCol w:w="160"/>
        <w:gridCol w:w="60"/>
        <w:gridCol w:w="1249"/>
        <w:gridCol w:w="60"/>
        <w:gridCol w:w="160"/>
        <w:gridCol w:w="72"/>
        <w:gridCol w:w="1381"/>
        <w:gridCol w:w="60"/>
        <w:gridCol w:w="160"/>
        <w:gridCol w:w="188"/>
        <w:gridCol w:w="1516"/>
        <w:gridCol w:w="69"/>
      </w:tblGrid>
      <w:tr>
        <w:trPr/>
        <w:tc>
          <w:tcPr>
            <w:tcW w:w="993"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993" w:type="dxa"/>
            <w:tcBorders/>
            <w:vAlign w:val="bottom"/>
          </w:tcPr>
          <w:p>
            <w:pPr>
              <w:pStyle w:val="TableContents"/>
              <w:bidi w:val="0"/>
              <w:spacing w:before="0" w:after="283"/>
              <w:jc w:val="left"/>
              <w:rPr>
                <w:b/>
              </w:rPr>
            </w:pPr>
            <w:r>
              <w:rPr>
                <w:b/>
              </w:rPr>
              <w:t>Class</w:t>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center"/>
              <w:rPr>
                <w:b/>
              </w:rPr>
            </w:pPr>
            <w:r>
              <w:rPr>
                <w:b/>
              </w:rPr>
              <w:t>Year of Issuance</w:t>
            </w:r>
          </w:p>
        </w:tc>
        <w:tc>
          <w:tcPr>
            <w:tcW w:w="160" w:type="dxa"/>
            <w:tcBorders/>
            <w:vAlign w:val="bottom"/>
          </w:tcPr>
          <w:p>
            <w:pPr>
              <w:pStyle w:val="TableContents"/>
              <w:bidi w:val="0"/>
              <w:spacing w:before="0" w:after="283"/>
              <w:jc w:val="left"/>
              <w:rPr/>
            </w:pPr>
            <w:r>
              <w:rPr/>
              <w:t>  </w:t>
            </w:r>
          </w:p>
        </w:tc>
        <w:tc>
          <w:tcPr>
            <w:tcW w:w="1638" w:type="dxa"/>
            <w:gridSpan w:val="2"/>
            <w:tcBorders/>
            <w:vAlign w:val="bottom"/>
          </w:tcPr>
          <w:p>
            <w:pPr>
              <w:pStyle w:val="TableContents"/>
              <w:bidi w:val="0"/>
              <w:spacing w:before="0" w:after="283"/>
              <w:jc w:val="center"/>
              <w:rPr>
                <w:b/>
              </w:rPr>
            </w:pPr>
            <w:r>
              <w:rPr>
                <w:b/>
              </w:rPr>
              <w:t>Liquidation</w:t>
              <w:br/>
              <w:t>Price per Share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53" w:type="dxa"/>
            <w:gridSpan w:val="2"/>
            <w:tcBorders/>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04" w:type="dxa"/>
            <w:gridSpan w:val="2"/>
            <w:tcBorders/>
            <w:vAlign w:val="bottom"/>
          </w:tcPr>
          <w:p>
            <w:pPr>
              <w:pStyle w:val="TableContents"/>
              <w:bidi w:val="0"/>
              <w:spacing w:before="0" w:after="283"/>
              <w:jc w:val="center"/>
              <w:rPr>
                <w:b/>
              </w:rPr>
            </w:pPr>
            <w:r>
              <w:rPr>
                <w:b/>
              </w:rPr>
              <w:t>Total Aggregate</w:t>
              <w:br/>
              <w:t>Liquidation</w:t>
              <w:br/>
              <w:t>Value</w:t>
            </w:r>
          </w:p>
        </w:tc>
        <w:tc>
          <w:tcPr>
            <w:tcW w:w="69" w:type="dxa"/>
            <w:tcBorders/>
            <w:vAlign w:val="bottom"/>
          </w:tcPr>
          <w:p>
            <w:pPr>
              <w:pStyle w:val="TableContents"/>
              <w:bidi w:val="0"/>
              <w:spacing w:before="0" w:after="283"/>
              <w:jc w:val="left"/>
              <w:rPr/>
            </w:pPr>
            <w:r>
              <w:rPr/>
              <w:t> </w:t>
            </w:r>
          </w:p>
        </w:tc>
      </w:tr>
      <w:tr>
        <w:trPr/>
        <w:tc>
          <w:tcPr>
            <w:tcW w:w="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60" w:type="dxa"/>
            <w:tcBorders/>
            <w:shd w:fill="CCEEFF" w:val="clear"/>
            <w:vAlign w:val="bottom"/>
          </w:tcPr>
          <w:p>
            <w:pPr>
              <w:pStyle w:val="TableContents"/>
              <w:bidi w:val="0"/>
              <w:spacing w:before="0" w:after="283"/>
              <w:jc w:val="left"/>
              <w:rPr/>
            </w:pPr>
            <w:r>
              <w:rPr/>
              <w:t>  </w:t>
            </w:r>
          </w:p>
        </w:tc>
        <w:tc>
          <w:tcPr>
            <w:tcW w:w="2059" w:type="dxa"/>
            <w:tcBorders/>
            <w:shd w:fill="CCEEFF" w:val="clear"/>
            <w:vAlign w:val="bottom"/>
          </w:tcPr>
          <w:p>
            <w:pPr>
              <w:pStyle w:val="TableContents"/>
              <w:bidi w:val="0"/>
              <w:spacing w:before="0" w:after="283"/>
              <w:jc w:val="center"/>
              <w:rPr/>
            </w:pPr>
            <w:r>
              <w:rPr/>
              <w:t>2026 (Exchange)</w:t>
            </w:r>
          </w:p>
        </w:tc>
        <w:tc>
          <w:tcPr>
            <w:tcW w:w="1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25,250,000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516"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center"/>
              <w:rPr/>
            </w:pPr>
            <w:r>
              <w:rPr/>
              <w:t>2026 (Exchange)</w:t>
            </w:r>
          </w:p>
        </w:tc>
        <w:tc>
          <w:tcPr>
            <w:tcW w:w="1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0.80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C-1</w:t>
            </w:r>
          </w:p>
        </w:tc>
        <w:tc>
          <w:tcPr>
            <w:tcW w:w="160" w:type="dxa"/>
            <w:tcBorders/>
            <w:shd w:fill="CCEEFF" w:val="clear"/>
            <w:vAlign w:val="bottom"/>
          </w:tcPr>
          <w:p>
            <w:pPr>
              <w:pStyle w:val="TableContents"/>
              <w:bidi w:val="0"/>
              <w:spacing w:before="0" w:after="283"/>
              <w:jc w:val="left"/>
              <w:rPr/>
            </w:pPr>
            <w:r>
              <w:rPr/>
              <w:t>  </w:t>
            </w:r>
          </w:p>
        </w:tc>
        <w:tc>
          <w:tcPr>
            <w:tcW w:w="2059" w:type="dxa"/>
            <w:tcBorders/>
            <w:shd w:fill="CCEEFF" w:val="clear"/>
            <w:vAlign w:val="bottom"/>
          </w:tcPr>
          <w:p>
            <w:pPr>
              <w:pStyle w:val="TableContents"/>
              <w:bidi w:val="0"/>
              <w:spacing w:before="0" w:after="283"/>
              <w:jc w:val="center"/>
              <w:rPr/>
            </w:pPr>
            <w:r>
              <w:rPr/>
              <w:t>2026 (Exchange)</w:t>
            </w:r>
          </w:p>
        </w:tc>
        <w:tc>
          <w:tcPr>
            <w:tcW w:w="1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35,294,203</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8,030,790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10,680,951</w:t>
            </w:r>
          </w:p>
        </w:tc>
        <w:tc>
          <w:tcPr>
            <w:tcW w:w="69" w:type="dxa"/>
            <w:tcBorders/>
            <w:shd w:fill="CCEEFF" w:val="clear"/>
            <w:vAlign w:val="bottom"/>
          </w:tcPr>
          <w:p>
            <w:pPr>
              <w:pStyle w:val="TableContents"/>
              <w:bidi w:val="0"/>
              <w:spacing w:before="0" w:after="283"/>
              <w:jc w:val="left"/>
              <w:rPr/>
            </w:pPr>
            <w:r>
              <w:rPr/>
              <w:t> </w:t>
            </w:r>
          </w:p>
        </w:tc>
      </w:tr>
      <w:tr>
        <w:trPr/>
        <w:tc>
          <w:tcPr>
            <w:tcW w:w="993"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center"/>
              <w:rPr/>
            </w:pPr>
            <w:r>
              <w:rPr/>
              <w:t>2026 (Exchange)</w:t>
            </w:r>
          </w:p>
        </w:tc>
        <w:tc>
          <w:tcPr>
            <w:tcW w:w="1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14,143,524</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5,714,250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right"/>
              <w:rPr/>
            </w:pPr>
            <w:r>
              <w:rPr/>
              <w:t>7,599,952</w:t>
            </w:r>
          </w:p>
        </w:tc>
        <w:tc>
          <w:tcPr>
            <w:tcW w:w="69" w:type="dxa"/>
            <w:tcBorders/>
            <w:vAlign w:val="bottom"/>
          </w:tcPr>
          <w:p>
            <w:pPr>
              <w:pStyle w:val="TableContents"/>
              <w:bidi w:val="0"/>
              <w:spacing w:before="0" w:after="283"/>
              <w:jc w:val="left"/>
              <w:rPr/>
            </w:pPr>
            <w:r>
              <w:rPr/>
              <w:t> </w:t>
            </w:r>
          </w:p>
        </w:tc>
      </w:tr>
      <w:tr>
        <w:trPr/>
        <w:tc>
          <w:tcPr>
            <w:tcW w:w="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E-1</w:t>
            </w:r>
          </w:p>
        </w:tc>
        <w:tc>
          <w:tcPr>
            <w:tcW w:w="160" w:type="dxa"/>
            <w:tcBorders/>
            <w:shd w:fill="CCEEFF" w:val="clear"/>
            <w:vAlign w:val="bottom"/>
          </w:tcPr>
          <w:p>
            <w:pPr>
              <w:pStyle w:val="TableContents"/>
              <w:bidi w:val="0"/>
              <w:spacing w:before="0" w:after="283"/>
              <w:jc w:val="left"/>
              <w:rPr/>
            </w:pPr>
            <w:r>
              <w:rPr/>
              <w:t>  </w:t>
            </w:r>
          </w:p>
        </w:tc>
        <w:tc>
          <w:tcPr>
            <w:tcW w:w="2059" w:type="dxa"/>
            <w:tcBorders/>
            <w:shd w:fill="CCEEFF" w:val="clear"/>
            <w:vAlign w:val="bottom"/>
          </w:tcPr>
          <w:p>
            <w:pPr>
              <w:pStyle w:val="TableContents"/>
              <w:bidi w:val="0"/>
              <w:spacing w:before="0" w:after="283"/>
              <w:jc w:val="center"/>
              <w:rPr/>
            </w:pPr>
            <w:r>
              <w:rPr/>
              <w:t>2026 (Exchange)</w:t>
            </w:r>
          </w:p>
        </w:tc>
        <w:tc>
          <w:tcPr>
            <w:tcW w:w="1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1.34</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21,172,590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15,178,730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right"/>
              <w:rPr/>
            </w:pPr>
            <w:r>
              <w:rPr/>
              <w:t>20,339,498</w:t>
            </w:r>
          </w:p>
        </w:tc>
        <w:tc>
          <w:tcPr>
            <w:tcW w:w="69" w:type="dxa"/>
            <w:tcBorders/>
            <w:shd w:fill="CCEEFF" w:val="clear"/>
            <w:vAlign w:val="bottom"/>
          </w:tcPr>
          <w:p>
            <w:pPr>
              <w:pStyle w:val="TableContents"/>
              <w:bidi w:val="0"/>
              <w:spacing w:before="0" w:after="283"/>
              <w:jc w:val="left"/>
              <w:rPr/>
            </w:pPr>
            <w:r>
              <w:rPr/>
              <w:t> </w:t>
            </w:r>
          </w:p>
        </w:tc>
      </w:tr>
      <w:tr>
        <w:trPr/>
        <w:tc>
          <w:tcPr>
            <w:tcW w:w="99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51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993"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108,360,317</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283"/>
              <w:jc w:val="right"/>
              <w:rPr/>
            </w:pPr>
            <w:r>
              <w:rPr/>
              <w:t>28,923,770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516" w:type="dxa"/>
            <w:tcBorders/>
            <w:vAlign w:val="bottom"/>
          </w:tcPr>
          <w:p>
            <w:pPr>
              <w:pStyle w:val="TableContents"/>
              <w:bidi w:val="0"/>
              <w:spacing w:before="0" w:after="283"/>
              <w:jc w:val="right"/>
              <w:rPr/>
            </w:pPr>
            <w:r>
              <w:rPr/>
              <w:t>38,620,400</w:t>
            </w:r>
          </w:p>
        </w:tc>
        <w:tc>
          <w:tcPr>
            <w:tcW w:w="69" w:type="dxa"/>
            <w:tcBorders/>
            <w:vAlign w:val="bottom"/>
          </w:tcPr>
          <w:p>
            <w:pPr>
              <w:pStyle w:val="TableContents"/>
              <w:bidi w:val="0"/>
              <w:spacing w:before="0" w:after="283"/>
              <w:jc w:val="left"/>
              <w:rPr/>
            </w:pPr>
            <w:r>
              <w:rPr/>
              <w:t> </w:t>
            </w:r>
          </w:p>
        </w:tc>
      </w:tr>
      <w:tr>
        <w:trPr/>
        <w:tc>
          <w:tcPr>
            <w:tcW w:w="99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51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Series A-1 and Series B-1 Preferred Stock were authorized as part of the February 2026 recapitalization, however, no shares of those series were outstanding as of March 31, 2026 as holders of the historical Series A and Series B Preferred Shares and certain holders of the Series C, Series D and Series E Preferred Shares did not participate in the bridge financing and where therefore converted to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As of December 31, 2025:</w:t>
      </w:r>
      <w:r>
        <w:rPr>
          <w:rFonts w:ascii="Times New Roman" w:hAnsi="Times New Roman"/>
          <w:sz w:val="20"/>
        </w:rPr>
        <w:t xml:space="preserve"> </w:t>
      </w:r>
    </w:p>
    <w:p>
      <w:pPr>
        <w:pStyle w:val="TextBody"/>
        <w:bidi w:val="0"/>
        <w:spacing w:before="0" w:after="0"/>
        <w:jc w:val="left"/>
        <w:rPr/>
      </w:pPr>
      <w:r>
        <w:rPr/>
        <w:t> </w:t>
      </w:r>
    </w:p>
    <w:tbl>
      <w:tblPr>
        <w:tblW w:w="12625" w:type="dxa"/>
        <w:jc w:val="center"/>
        <w:tblInd w:w="0" w:type="dxa"/>
        <w:tblLayout w:type="fixed"/>
        <w:tblCellMar>
          <w:top w:w="0" w:type="dxa"/>
          <w:left w:w="0" w:type="dxa"/>
          <w:bottom w:w="0" w:type="dxa"/>
          <w:right w:w="0" w:type="dxa"/>
        </w:tblCellMar>
      </w:tblPr>
      <w:tblGrid>
        <w:gridCol w:w="560"/>
        <w:gridCol w:w="120"/>
        <w:gridCol w:w="60"/>
        <w:gridCol w:w="1445"/>
        <w:gridCol w:w="60"/>
        <w:gridCol w:w="120"/>
        <w:gridCol w:w="295"/>
        <w:gridCol w:w="1180"/>
        <w:gridCol w:w="60"/>
        <w:gridCol w:w="120"/>
        <w:gridCol w:w="60"/>
        <w:gridCol w:w="1115"/>
        <w:gridCol w:w="60"/>
        <w:gridCol w:w="120"/>
        <w:gridCol w:w="73"/>
        <w:gridCol w:w="1342"/>
        <w:gridCol w:w="60"/>
        <w:gridCol w:w="120"/>
        <w:gridCol w:w="158"/>
        <w:gridCol w:w="1377"/>
        <w:gridCol w:w="60"/>
        <w:gridCol w:w="120"/>
        <w:gridCol w:w="140"/>
        <w:gridCol w:w="800"/>
        <w:gridCol w:w="60"/>
        <w:gridCol w:w="120"/>
        <w:gridCol w:w="140"/>
        <w:gridCol w:w="1220"/>
        <w:gridCol w:w="60"/>
        <w:gridCol w:w="120"/>
        <w:gridCol w:w="244"/>
        <w:gridCol w:w="976"/>
        <w:gridCol w:w="6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bidi w:val="0"/>
              <w:spacing w:before="0" w:after="283"/>
              <w:jc w:val="left"/>
              <w:rPr>
                <w:b/>
              </w:rPr>
            </w:pPr>
            <w:r>
              <w:rPr>
                <w:b/>
              </w:rPr>
              <w:t>Class</w:t>
            </w:r>
          </w:p>
        </w:tc>
        <w:tc>
          <w:tcPr>
            <w:tcW w:w="120" w:type="dxa"/>
            <w:tcBorders/>
            <w:vAlign w:val="bottom"/>
          </w:tcPr>
          <w:p>
            <w:pPr>
              <w:pStyle w:val="TableContents"/>
              <w:bidi w:val="0"/>
              <w:spacing w:before="0" w:after="283"/>
              <w:jc w:val="left"/>
              <w:rPr/>
            </w:pPr>
            <w:r>
              <w:rPr/>
              <w:t>  </w:t>
            </w:r>
          </w:p>
        </w:tc>
        <w:tc>
          <w:tcPr>
            <w:tcW w:w="15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Year of</w:t>
            </w:r>
          </w:p>
          <w:p>
            <w:pPr>
              <w:pStyle w:val="TableContents"/>
              <w:bidi w:val="0"/>
              <w:spacing w:before="0" w:after="20"/>
              <w:jc w:val="center"/>
              <w:rPr>
                <w:rFonts w:ascii="Times New Roman" w:hAnsi="Times New Roman"/>
                <w:b/>
                <w:sz w:val="16"/>
              </w:rPr>
            </w:pPr>
            <w:r>
              <w:rPr>
                <w:rFonts w:ascii="Times New Roman" w:hAnsi="Times New Roman"/>
                <w:b/>
                <w:sz w:val="16"/>
              </w:rPr>
              <w:t>Issuance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rPr>
            </w:pPr>
            <w:r>
              <w:rPr>
                <w:b/>
              </w:rPr>
              <w:t>Issuance Price</w:t>
              <w:br/>
              <w:t>per Share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Shares Issued</w:t>
              <w:br/>
              <w:t>and</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center"/>
              <w:rPr>
                <w:b/>
              </w:rPr>
            </w:pPr>
            <w:r>
              <w:rPr>
                <w:b/>
              </w:rPr>
              <w:t>Total Proceeds</w:t>
              <w:br/>
              <w:t>or Exchange</w:t>
              <w:br/>
              <w:t>Value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Issuance</w:t>
              <w:br/>
              <w:t>Costs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Net Proceeds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Liquidation</w:t>
              <w:br/>
              <w:t>Price per</w:t>
              <w:br/>
              <w:t>Share</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2,525,000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1,010,000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1,010,000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2015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1,250,000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8.00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2015 - 2016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13.30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3,529,420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3,529,413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46,941,193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247,480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46,693,713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13.30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center"/>
              <w:rPr/>
            </w:pPr>
            <w:r>
              <w:rPr/>
              <w:t>2018 and 2020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2,037,245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1,414,345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18,810,789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278,573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18,532,216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13.30</w:t>
            </w:r>
          </w:p>
        </w:tc>
        <w:tc>
          <w:tcPr>
            <w:tcW w:w="60"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r>
              <w:rPr>
                <w:rFonts w:ascii="Times New Roman" w:hAnsi="Times New Roman"/>
                <w:b/>
                <w:sz w:val="20"/>
              </w:rPr>
              <w:t>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center"/>
              <w:rPr/>
            </w:pPr>
            <w:r>
              <w:rPr/>
              <w:t>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13.40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4,241,659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2,117,253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28,371,190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216,950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28,154,240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13.40</w:t>
            </w:r>
          </w:p>
        </w:tc>
        <w:tc>
          <w:tcPr>
            <w:tcW w:w="60" w:type="dxa"/>
            <w:tcBorders/>
            <w:shd w:fill="CCEEFF" w:val="clear"/>
            <w:vAlign w:val="bottom"/>
          </w:tcPr>
          <w:p>
            <w:pPr>
              <w:pStyle w:val="TableContents"/>
              <w:bidi w:val="0"/>
              <w:spacing w:before="0" w:after="283"/>
              <w:jc w:val="left"/>
              <w:rPr/>
            </w:pPr>
            <w:r>
              <w:rPr/>
              <w:t> </w:t>
            </w:r>
          </w:p>
        </w:tc>
      </w:tr>
      <w:tr>
        <w:trPr/>
        <w:tc>
          <w:tcPr>
            <w:tcW w:w="5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13,583,324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10,836,011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105,133,172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743,003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104,390,169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11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powers, preferences, rights, qualifications, limitations, and restrictions of the shares of Convertible Preferred Stock are as follows. Unless otherwise noted, the following discussion summarizes the rights and preferences of the Series A-1 through Series E-1 Preferred Stock outstanding as of March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Dividends shall accrue to holders of the Convertible Preferred Stock at the rate of 8% of the original issue price for the applicable series of Convertible Preferred Stock per annum subject to appropriate adjustment in the event of any stock dividend, stock split, combination or other similar recapitalization, reclassification and other similar events payable only when, and if, declared by the Board. The right to receive dividends on Convertible Preferred Stock are not cumulative, and therefore, if not declared in any year, the right to such dividends shall terminate and shall not carryforward into the next year. There have been no dividends declared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winding up of the Company, whether voluntary or involuntary or a deemed liquidation event (which includes a merger, the sale of all of the Company’s assets, or a change of control) the holders of the Convertible Preferred Stock are entitled to be paid out of the assets of the Company available for distribution to stockholders, pari passu, at a liquidation price per share equal to the greater of: (1) the initial liquidation price of such Convertible Preferred Stock, plus any declared and unpaid dividends or (2) an amount that would have been payable had all the shares of the Convertible Preferred Stock been converted into the common stock. These payments will be made to or set aside prior to the holders of shares of any other class or series of capital stock that is not, by its terms, senior to the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applicable series of Convertible Preferred Stock are entitled to vote together with the holders of common stock as a single class on all matters submitted to a vote of the Company’s stockholders, except where separate class voting is required by applicable law or the Company’s Amended Certificate of Incorporation. Each share of Convertible Preferred Stock is entitled to the number of votes equal to the number of shares of common stock into which such share is then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the applicable series of Convertible Preferred Stock is convertible, at the option of the holder, into shares of the Company’s common stock in accordance with the terms of the Company’s Amended and Restated Certificate of Incorporation, subject to customary anti-dilution adjustments for stock splits, stock dividends, recapitalizations, reclassifications and similar events.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Preferred Stock will automatically convert into common stock upon the occurrence of specified automatic conversion events set forth in the Company’s Amended and Restated Certificate of Incorporation, including the approval of the requisite holders of the Convertible Preferred Stock or the consummation of a qualifying public offering,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2013 Employee, Director, and Consultant Equity Incentive Plan as amended on October 20, 2020 (the “Plan”) was originally adopted by its Board and stockholders in April 2013. As of March 31, 2026 and 2025, a total of 10,640,440 and 4,150,000 shares, respectively, were reserved for issuance under the Plan. As of March 31, 2026 and 2025, zero and 208,333 common shares, respectively, remain available for issuance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On February 9, 2026, the Company created the 2026 Stock Incentive Plan (the “2026 Plan”) which was adopted by its Board and stockholders. As of March 31, 2026, a total of 6,832,554 shares, were reserved for issuance and 1,827,050 common shares remain available for issuance under the 2026 Plan. </w:t>
      </w:r>
    </w:p>
    <w:p>
      <w:pPr>
        <w:pStyle w:val="TextBody"/>
        <w:bidi w:val="0"/>
        <w:spacing w:before="120" w:after="0"/>
        <w:jc w:val="left"/>
        <w:rPr>
          <w:rFonts w:ascii="Times New Roman" w:hAnsi="Times New Roman"/>
          <w:sz w:val="20"/>
        </w:rPr>
      </w:pPr>
      <w:r>
        <w:rPr>
          <w:rFonts w:ascii="Times New Roman" w:hAnsi="Times New Roman"/>
          <w:b/>
          <w:sz w:val="20"/>
        </w:rPr>
        <w:t>Stock Option Activity</w:t>
      </w:r>
      <w:r>
        <w:rPr>
          <w:rFonts w:ascii="Times New Roman" w:hAnsi="Times New Roman"/>
          <w:sz w:val="20"/>
        </w:rPr>
        <w:t xml:space="preserve">—Each stock option grant carries varying vesting schedules, which are generally four years. Each stock option shall terminate not more than 10 years from the date of the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summary of the stock option activity is presented in the table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51"/>
        <w:gridCol w:w="279"/>
        <w:gridCol w:w="60"/>
        <w:gridCol w:w="1072"/>
        <w:gridCol w:w="155"/>
        <w:gridCol w:w="244"/>
        <w:gridCol w:w="259"/>
        <w:gridCol w:w="812"/>
        <w:gridCol w:w="60"/>
        <w:gridCol w:w="279"/>
        <w:gridCol w:w="1739"/>
        <w:gridCol w:w="279"/>
        <w:gridCol w:w="140"/>
        <w:gridCol w:w="994"/>
        <w:gridCol w:w="65"/>
      </w:tblGrid>
      <w:tr>
        <w:trPr/>
        <w:tc>
          <w:tcPr>
            <w:tcW w:w="2951"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1"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center"/>
              <w:rPr>
                <w:b/>
              </w:rPr>
            </w:pPr>
            <w:r>
              <w:rPr>
                <w:b/>
              </w:rPr>
              <w:t>Weighted-</w:t>
              <w:br/>
              <w:t>Average</w:t>
              <w:br/>
              <w:t>Remaining</w:t>
              <w:br/>
              <w:t>Contractual Life</w:t>
            </w:r>
          </w:p>
        </w:tc>
        <w:tc>
          <w:tcPr>
            <w:tcW w:w="279"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283"/>
              <w:jc w:val="center"/>
              <w:rPr>
                <w:b/>
              </w:rPr>
            </w:pPr>
            <w:r>
              <w:rPr>
                <w:b/>
              </w:rPr>
              <w:t>Aggregate</w:t>
              <w:br/>
              <w:t>Intrinsic</w:t>
              <w:br/>
              <w:t>Value</w:t>
            </w:r>
          </w:p>
        </w:tc>
        <w:tc>
          <w:tcPr>
            <w:tcW w:w="65" w:type="dxa"/>
            <w:tcBorders/>
            <w:vAlign w:val="bottom"/>
          </w:tcPr>
          <w:p>
            <w:pPr>
              <w:pStyle w:val="TableContents"/>
              <w:bidi w:val="0"/>
              <w:spacing w:before="0" w:after="283"/>
              <w:jc w:val="left"/>
              <w:rPr/>
            </w:pPr>
            <w:r>
              <w:rPr/>
              <w:t> </w:t>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2025</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3,348,729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4.45</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center"/>
              <w:rPr/>
            </w:pPr>
            <w:r>
              <w:rPr/>
              <w:t>7.8</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907,571</w:t>
            </w:r>
          </w:p>
        </w:tc>
        <w:tc>
          <w:tcPr>
            <w:tcW w:w="65" w:type="dxa"/>
            <w:tcBorders/>
            <w:shd w:fill="CCEEFF" w:val="clear"/>
            <w:vAlign w:val="bottom"/>
          </w:tcPr>
          <w:p>
            <w:pPr>
              <w:pStyle w:val="TableContents"/>
              <w:bidi w:val="0"/>
              <w:spacing w:before="0" w:after="283"/>
              <w:jc w:val="left"/>
              <w:rPr/>
            </w:pPr>
            <w:r>
              <w:rPr/>
              <w:t> </w:t>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275,000</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(38,890</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(40,922</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March 31, 2025</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3,543,917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4.35</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center"/>
              <w:rPr/>
            </w:pPr>
            <w:r>
              <w:rPr/>
              <w:t>7.8</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1,116,172</w:t>
            </w:r>
          </w:p>
        </w:tc>
        <w:tc>
          <w:tcPr>
            <w:tcW w:w="65" w:type="dxa"/>
            <w:tcBorders/>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exercisable at March 31, 2025</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3,252,501</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4.47</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center"/>
              <w:rPr/>
            </w:pPr>
            <w:r>
              <w:rPr/>
              <w:t>7.7</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867,650</w:t>
            </w:r>
          </w:p>
        </w:tc>
        <w:tc>
          <w:tcPr>
            <w:tcW w:w="65" w:type="dxa"/>
            <w:tcBorders/>
            <w:shd w:fill="CCEEFF" w:val="clear"/>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March 31, 2025</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3,543,917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4.35</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center"/>
              <w:rPr/>
            </w:pPr>
            <w:r>
              <w:rPr/>
              <w:t>7.8</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1,116,172</w:t>
            </w:r>
          </w:p>
        </w:tc>
        <w:tc>
          <w:tcPr>
            <w:tcW w:w="65" w:type="dxa"/>
            <w:tcBorders/>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2026</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3,431,549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4.32</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center"/>
              <w:rPr/>
            </w:pPr>
            <w:r>
              <w:rPr/>
              <w:t>6.3</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1,111,572</w:t>
            </w:r>
          </w:p>
        </w:tc>
        <w:tc>
          <w:tcPr>
            <w:tcW w:w="65" w:type="dxa"/>
            <w:tcBorders/>
            <w:shd w:fill="CCEEFF" w:val="clear"/>
            <w:vAlign w:val="bottom"/>
          </w:tcPr>
          <w:p>
            <w:pPr>
              <w:pStyle w:val="TableContents"/>
              <w:bidi w:val="0"/>
              <w:spacing w:before="0" w:after="283"/>
              <w:jc w:val="left"/>
              <w:rPr/>
            </w:pPr>
            <w:r>
              <w:rPr/>
              <w:t> </w:t>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7,880,057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0.06</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(197,007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2.90</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(2,692,508</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4.56</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March 31, 2026</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8,422,091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0.29</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center"/>
              <w:rPr/>
            </w:pPr>
            <w:r>
              <w:rPr/>
              <w:t>8.4</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236,402</w:t>
            </w:r>
          </w:p>
        </w:tc>
        <w:tc>
          <w:tcPr>
            <w:tcW w:w="65" w:type="dxa"/>
            <w:tcBorders/>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exercisable at March 31, 2026</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7,624,614</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0.31</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center"/>
              <w:rPr/>
            </w:pPr>
            <w:r>
              <w:rPr/>
              <w:t>8.2</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212,563</w:t>
            </w:r>
          </w:p>
        </w:tc>
        <w:tc>
          <w:tcPr>
            <w:tcW w:w="65" w:type="dxa"/>
            <w:tcBorders/>
            <w:shd w:fill="CCEEFF" w:val="clear"/>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expected to vest at March 31, 2026</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8,422,091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0.29</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center"/>
              <w:rPr/>
            </w:pPr>
            <w:r>
              <w:rPr/>
              <w:t>7.8</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236,402</w:t>
            </w:r>
          </w:p>
        </w:tc>
        <w:tc>
          <w:tcPr>
            <w:tcW w:w="65" w:type="dxa"/>
            <w:tcBorders/>
            <w:vAlign w:val="bottom"/>
          </w:tcPr>
          <w:p>
            <w:pPr>
              <w:pStyle w:val="TableContents"/>
              <w:bidi w:val="0"/>
              <w:spacing w:before="0" w:after="283"/>
              <w:jc w:val="left"/>
              <w:rPr/>
            </w:pPr>
            <w:r>
              <w:rPr/>
              <w:t> </w:t>
            </w:r>
          </w:p>
        </w:tc>
      </w:tr>
      <w:tr>
        <w:trPr/>
        <w:tc>
          <w:tcPr>
            <w:tcW w:w="2951"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weighted-average grant date fair value of stock options granted during the three months ended March 31, 2026 and 2025, were $0.06 and $2.78, respectively.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utilized the Black-Scholes option-pricing model for determining the estimated fair value of options. The Black-Scholes option-pricing model requires the use of subjective assumptions. The assumptions used to value stock option grants for the three months ended March 31, 2026,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71"/>
        <w:gridCol w:w="516"/>
        <w:gridCol w:w="1452"/>
      </w:tblGrid>
      <w:tr>
        <w:trPr/>
        <w:tc>
          <w:tcPr>
            <w:tcW w:w="4971"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4971"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452" w:type="dxa"/>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r>
      <w:tr>
        <w:trPr/>
        <w:tc>
          <w:tcPr>
            <w:tcW w:w="4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516"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$0.09</w:t>
            </w:r>
          </w:p>
        </w:tc>
      </w:tr>
      <w:tr>
        <w:trPr/>
        <w:tc>
          <w:tcPr>
            <w:tcW w:w="497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16"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3.80% - 3.90%</w:t>
            </w:r>
          </w:p>
        </w:tc>
      </w:tr>
      <w:tr>
        <w:trPr/>
        <w:tc>
          <w:tcPr>
            <w:tcW w:w="4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516"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r>
      <w:tr>
        <w:trPr/>
        <w:tc>
          <w:tcPr>
            <w:tcW w:w="497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expected term</w:t>
            </w:r>
          </w:p>
        </w:tc>
        <w:tc>
          <w:tcPr>
            <w:tcW w:w="516"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5.1 years</w:t>
            </w:r>
          </w:p>
        </w:tc>
      </w:tr>
      <w:tr>
        <w:trPr/>
        <w:tc>
          <w:tcPr>
            <w:tcW w:w="4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16"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75%</w:t>
            </w:r>
          </w:p>
        </w:tc>
      </w:tr>
    </w:tbl>
    <w:p>
      <w:pPr>
        <w:pStyle w:val="TextBody"/>
        <w:bidi w:val="0"/>
        <w:spacing w:before="120" w:after="0"/>
        <w:jc w:val="left"/>
        <w:rPr>
          <w:rFonts w:ascii="Times New Roman" w:hAnsi="Times New Roman"/>
          <w:sz w:val="20"/>
        </w:rPr>
      </w:pPr>
      <w:r>
        <w:rPr>
          <w:rFonts w:ascii="Times New Roman" w:hAnsi="Times New Roman"/>
          <w:b/>
          <w:sz w:val="20"/>
        </w:rPr>
        <w:t>Risk-Free Interest Rate</w:t>
      </w:r>
      <w:r>
        <w:rPr>
          <w:rFonts w:ascii="Times New Roman" w:hAnsi="Times New Roman"/>
          <w:sz w:val="20"/>
        </w:rPr>
        <w:t xml:space="preserve">—The risk-free interest rate for periods within the expected term of the awards is based on the US Treasury yield curve in effect at the time of the grant. </w:t>
      </w:r>
    </w:p>
    <w:p>
      <w:pPr>
        <w:pStyle w:val="TextBody"/>
        <w:bidi w:val="0"/>
        <w:spacing w:before="120" w:after="0"/>
        <w:jc w:val="left"/>
        <w:rPr>
          <w:rFonts w:ascii="Times New Roman" w:hAnsi="Times New Roman"/>
          <w:sz w:val="20"/>
        </w:rPr>
      </w:pPr>
      <w:r>
        <w:rPr>
          <w:rFonts w:ascii="Times New Roman" w:hAnsi="Times New Roman"/>
          <w:b/>
          <w:sz w:val="20"/>
        </w:rPr>
        <w:t>Expected Dividend Yield</w:t>
      </w:r>
      <w:r>
        <w:rPr>
          <w:rFonts w:ascii="Times New Roman" w:hAnsi="Times New Roman"/>
          <w:sz w:val="20"/>
        </w:rPr>
        <w:t xml:space="preserve">—The Company has never declared or paid any cash dividends and does not expect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b/>
          <w:sz w:val="20"/>
        </w:rPr>
        <w:t>Expected Term</w:t>
      </w:r>
      <w:r>
        <w:rPr>
          <w:rFonts w:ascii="Times New Roman" w:hAnsi="Times New Roman"/>
          <w:sz w:val="20"/>
        </w:rPr>
        <w:t xml:space="preserve">—The Company calculates the expected term using the “simplified” method, which is the simple average of the vesting period and the contractual term. The simplified method is applied as the Company does not have sufficient historical data to provide a reasonable basis for an estimate of the expected term. </w:t>
      </w:r>
    </w:p>
    <w:p>
      <w:pPr>
        <w:pStyle w:val="TextBody"/>
        <w:bidi w:val="0"/>
        <w:spacing w:before="120" w:after="0"/>
        <w:jc w:val="left"/>
        <w:rPr>
          <w:rFonts w:ascii="Times New Roman" w:hAnsi="Times New Roman"/>
          <w:sz w:val="20"/>
        </w:rPr>
      </w:pPr>
      <w:r>
        <w:rPr>
          <w:rFonts w:ascii="Times New Roman" w:hAnsi="Times New Roman"/>
          <w:b/>
          <w:sz w:val="20"/>
        </w:rPr>
        <w:t>Expected Volatility</w:t>
      </w:r>
      <w:r>
        <w:rPr>
          <w:rFonts w:ascii="Times New Roman" w:hAnsi="Times New Roman"/>
          <w:sz w:val="20"/>
        </w:rPr>
        <w:t xml:space="preserve">—As the Company has been privately held since inception, there is no specific historical or implied volatility information available. Accordingly, the Company estimates the expected volatility on the historical stock volatility of a group of similar companies that are publicly traded over a period equivalent to the expected term of the stock option awards. </w:t>
      </w:r>
    </w:p>
    <w:p>
      <w:pPr>
        <w:pStyle w:val="TextBody"/>
        <w:bidi w:val="0"/>
        <w:spacing w:before="120" w:after="0"/>
        <w:jc w:val="left"/>
        <w:rPr>
          <w:rFonts w:ascii="Times New Roman" w:hAnsi="Times New Roman"/>
          <w:sz w:val="20"/>
        </w:rPr>
      </w:pPr>
      <w:r>
        <w:rPr>
          <w:rFonts w:ascii="Times New Roman" w:hAnsi="Times New Roman"/>
          <w:b/>
          <w:sz w:val="20"/>
        </w:rPr>
        <w:t>Exercise Price</w:t>
      </w:r>
      <w:r>
        <w:rPr>
          <w:rFonts w:ascii="Times New Roman" w:hAnsi="Times New Roman"/>
          <w:sz w:val="20"/>
        </w:rPr>
        <w:t xml:space="preserve">—The exercise price is taken directly from the grant notice issued to employees and nonemployees.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stock-based compensation expense is allocated to the following operating expense categories on the statements of operations and comprehensive loss for the quarters ended March 31, 2026 and 2025,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93"/>
        <w:gridCol w:w="293"/>
        <w:gridCol w:w="159"/>
        <w:gridCol w:w="914"/>
        <w:gridCol w:w="60"/>
        <w:gridCol w:w="293"/>
        <w:gridCol w:w="182"/>
        <w:gridCol w:w="897"/>
        <w:gridCol w:w="64"/>
      </w:tblGrid>
      <w:tr>
        <w:trPr/>
        <w:tc>
          <w:tcPr>
            <w:tcW w:w="489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9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073" w:type="dxa"/>
            <w:gridSpan w:val="2"/>
            <w:tcBorders/>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079" w:type="dxa"/>
            <w:gridSpan w:val="2"/>
            <w:tcBorders/>
            <w:vAlign w:val="bottom"/>
          </w:tcPr>
          <w:p>
            <w:pPr>
              <w:pStyle w:val="TableContents"/>
              <w:bidi w:val="0"/>
              <w:spacing w:before="0" w:after="283"/>
              <w:jc w:val="center"/>
              <w:rPr>
                <w:b/>
              </w:rPr>
            </w:pPr>
            <w:r>
              <w:rPr>
                <w:b/>
              </w:rPr>
              <w:t>March 31,</w:t>
              <w:br/>
              <w:t>2025</w:t>
            </w:r>
          </w:p>
        </w:tc>
        <w:tc>
          <w:tcPr>
            <w:tcW w:w="64" w:type="dxa"/>
            <w:tcBorders/>
            <w:vAlign w:val="bottom"/>
          </w:tcPr>
          <w:p>
            <w:pPr>
              <w:pStyle w:val="TableContents"/>
              <w:bidi w:val="0"/>
              <w:spacing w:before="0" w:after="283"/>
              <w:jc w:val="left"/>
              <w:rPr/>
            </w:pPr>
            <w:r>
              <w:rPr/>
              <w:t> </w:t>
            </w:r>
          </w:p>
        </w:tc>
      </w:tr>
      <w:tr>
        <w:trPr/>
        <w:tc>
          <w:tcPr>
            <w:tcW w:w="4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225,891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27,220</w:t>
            </w:r>
          </w:p>
        </w:tc>
        <w:tc>
          <w:tcPr>
            <w:tcW w:w="64" w:type="dxa"/>
            <w:tcBorders/>
            <w:shd w:fill="CCEEFF" w:val="clear"/>
            <w:vAlign w:val="bottom"/>
          </w:tcPr>
          <w:p>
            <w:pPr>
              <w:pStyle w:val="TableContents"/>
              <w:bidi w:val="0"/>
              <w:spacing w:before="0" w:after="283"/>
              <w:jc w:val="left"/>
              <w:rPr/>
            </w:pPr>
            <w:r>
              <w:rPr/>
              <w:t> </w:t>
            </w:r>
          </w:p>
        </w:tc>
      </w:tr>
      <w:tr>
        <w:trPr/>
        <w:tc>
          <w:tcPr>
            <w:tcW w:w="489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253,525</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15,201</w:t>
            </w:r>
          </w:p>
        </w:tc>
        <w:tc>
          <w:tcPr>
            <w:tcW w:w="64" w:type="dxa"/>
            <w:tcBorders/>
            <w:vAlign w:val="bottom"/>
          </w:tcPr>
          <w:p>
            <w:pPr>
              <w:pStyle w:val="TableContents"/>
              <w:bidi w:val="0"/>
              <w:spacing w:before="0" w:after="283"/>
              <w:jc w:val="left"/>
              <w:rPr/>
            </w:pPr>
            <w:r>
              <w:rPr/>
              <w:t> </w:t>
            </w:r>
          </w:p>
        </w:tc>
      </w:tr>
      <w:tr>
        <w:trPr/>
        <w:tc>
          <w:tcPr>
            <w:tcW w:w="489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2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479,416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42,421</w:t>
            </w:r>
          </w:p>
        </w:tc>
        <w:tc>
          <w:tcPr>
            <w:tcW w:w="64" w:type="dxa"/>
            <w:tcBorders/>
            <w:shd w:fill="CCEEFF" w:val="clear"/>
            <w:vAlign w:val="bottom"/>
          </w:tcPr>
          <w:p>
            <w:pPr>
              <w:pStyle w:val="TableContents"/>
              <w:bidi w:val="0"/>
              <w:spacing w:before="0" w:after="283"/>
              <w:jc w:val="left"/>
              <w:rPr/>
            </w:pPr>
            <w:r>
              <w:rPr/>
              <w:t> </w:t>
            </w:r>
          </w:p>
        </w:tc>
      </w:tr>
      <w:tr>
        <w:trPr/>
        <w:tc>
          <w:tcPr>
            <w:tcW w:w="489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related tax benefits of the stock-based compensation expense have been recognized, and no related tax benefits have been realized from the exercise of stock options due to the Company’s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Total unrecognized stock-based compensation expense as of March 31, 2026 and 2025, was $587,402 and $763,411, respectively, which will be recognized over the remaining weighted-average vesting period of 3.07 years and 3.62 years,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were no income taxes recorded for the three months ended March 31, 2026 or March 31, 2025 and, therefore, the Company’s effective income tax rate was 0.0% for the three months ended March 31, 2026 and March 31, 2025. The effective income tax rate for the three months ended March 31, 2026 and 2025 differed from the 21% federal statutory rate primarily due to the valuation allowance maintained against the Company’s net deferred tax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401(k) defined contribution plan covering all eligible US employees. Contributions to the 401(k) plan are discretionary. The Company did not make any matching contributions to the 401(k) plan for the quarters ended March 31, 2026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have any outstanding or ongoing litigation and legal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preparation of the financial statements, the Company evaluated events subsequent to the balance sheet date of March 31, 2026 through July 29, 2026, the date the financial statements were available for issuance.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issued an additional $10,000,000 of senior secured convertible promissory notes. The additional notes were issued on substantially the same terms as the notes issued in February 2026. </w:t>
      </w:r>
    </w:p>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amended the existing 2026 Plan to increase the shares of common stock reserved for issuance from 6,832,554 shares to 35,000,000 shares.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authorized the grant of options to purchase a total of 29,553,780 shares of common stock to management, employees and select consultants and advisors at a weighted average exercise price of $0.58 per share on May 12, 2026. </w:t>
      </w:r>
    </w:p>
    <w:p>
      <w:pPr>
        <w:pStyle w:val="TextBody"/>
        <w:bidi w:val="0"/>
        <w:spacing w:before="360" w:after="0"/>
        <w:jc w:val="left"/>
        <w:rPr>
          <w:rFonts w:ascii="Times New Roman" w:hAnsi="Times New Roman"/>
          <w:b/>
          <w:sz w:val="20"/>
        </w:rPr>
      </w:pPr>
      <w:r>
        <w:rPr>
          <w:rFonts w:ascii="Times New Roman" w:hAnsi="Times New Roman"/>
          <w:b/>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17, 2026, the Company entered into an Agreement and Plan of Merger (the “Merger Agreement”) with Quince Therapeutics, Inc. (“Quince”), Phoenix Merger Sub I, Inc., Phoenix Merger Sub II, LLC and Orphai Holdings Therapeutics, Inc., pursuant to which the Company was acquired by Quince. Under the terms of the Merger Agreement, Merger Sub I merged with and into Orphai Holdings Therapeutics, Inc., with Orphai Holdings Therapeutics, Inc. surviving as a wholly owned subsidiary of Quince, followed immediately by the merger of Orphai Holdings Therapeutics, Inc. with and into Merger Sub II, pursuant to which Merger Sub II was the surviving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holders of Orphai equity securities received an aggregate of 3,258,517 shares of Quince common stock and 67,101.2355 shares of Quince Series C Non-Voting Convertible Preferred Stock, subject to the terms and conditions set forth in the Merger Agreement. Outstanding Company options and warrants were assumed or exchanged for corresponding Quince equity instruments, and the Company’s outstanding convertible notes converted into equity immediately prior to the effective time of the merger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Quince entered into securities purchase agreements with certain investors providing for a private placement financing which generated gross proceeds of $115,000,000 through the issuance of Quince Series C Convertible Preferred Stock and related warrants, subject to the satisfaction of customary closing conditions. </w:t>
      </w:r>
    </w:p>
    <w:p>
      <w:pPr>
        <w:pStyle w:val="TextBody"/>
        <w:bidi w:val="0"/>
        <w:spacing w:before="240" w:after="0"/>
        <w:jc w:val="center"/>
        <w:rPr>
          <w:rFonts w:ascii="Times New Roman" w:hAnsi="Times New Roman"/>
          <w:sz w:val="20"/>
        </w:rPr>
      </w:pPr>
      <w:r>
        <w:rPr>
          <w:rFonts w:ascii="Times New Roman" w:hAnsi="Times New Roman"/>
          <w:sz w:val="20"/>
        </w:rPr>
        <w:t xml:space="preserve">* *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p>
    <w:p>
      <w:pPr>
        <w:pStyle w:val="TextBody"/>
        <w:bidi w:val="0"/>
        <w:spacing w:before="0" w:after="0"/>
        <w:jc w:val="right"/>
        <w:rPr>
          <w:rFonts w:ascii="Times New Roman" w:hAnsi="Times New Roman"/>
          <w:b/>
          <w:sz w:val="20"/>
        </w:rPr>
      </w:pPr>
      <w:bookmarkStart w:id="12" w:name="d163930dex998.htm"/>
      <w:bookmarkStart w:id="13" w:name="ksd163930dex998"/>
      <w:bookmarkEnd w:id="12"/>
      <w:bookmarkEnd w:id="13"/>
      <w:r>
        <w:rPr>
          <w:rFonts w:ascii="Times New Roman" w:hAnsi="Times New Roman"/>
          <w:b/>
          <w:sz w:val="20"/>
        </w:rPr>
        <w:t xml:space="preserve">Exhibit 99.8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Quince Therapeutics, Inc., a Delaware corporation (the “Company” or “Quince”), acquired Orphai Therapeutics, LLC (formerly Orphai Therapeutics, Inc., “Orphai”), a Delaware limited liability company and wholly owned subsidiary of Orphai Holdings Therapeutics, Inc., a Delaware corporation (“HoldCo”), in accordance with the terms of the Agreement and Plan of Merger, dated May 17, 2026 (the “Merger Agreement”), by and among the Company, Phoenix Merger Sub I, Inc., a Delaware corporation and a wholly owned subsidiary of the Company (“First Merger Sub”), Phoenix Merger Sub II, LLC, a Delaware limited liability company and wholly owned subsidiary of the Company (“Second Merger Sub”), Orphai, and HoldCo. Pursuant to the Merger Agreement, First Merger Sub merged with and into HoldCo, pursuant to which HoldCo was the surviving corporation and became a wholly owned subsidiary of the Company (the “First Merger”). Immediately following the First Merger, HoldCo merged with and into Second Merger Sub, pursuant to which Second Merger Sub was the surviving entity (together with the First Merger, the “Acquisition”). All of the assets acquired by Quince consisted of the assets of Orphai Therapeutics, LLC (formerly Orphai Therapeutics, Inc.). None of the assets acquired were attributable to HoldCo, the parent entity of Orphai. HoldCo was incorporated solely as a holding company to facilitate the structure of the Acquisition, had no independent operations or assets and held all operating assets through Orphai; accordingly, the historical financial statements of Orphai are presented as the predecessor financial statements for purposes of this pro forma.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following the closing of the Acquisition, the Company issued consideration (i) to the stockholders of HoldCo an aggregate of 162,971 shares of common stock of the Company, par value $0.001 per share (the “Common Stock”), as adjusted for the second reverse stock split and 67,101.235 shares of Series C Non-Voting Convertible Preferred Stock, par value $0.001 per share (the “Series C Preferred Stock”), each share of which is convertible into 52.00 shares of Common Stock, as adjusted for the June 29, 2026 reverse stock split, subject to certain conditions, including the approval of such conversion by the Company’s stockholders, (ii) 10,964.505 warrant shares of the Company’s Series C Preferred Stock to Orphai warrant holders. The warrants may be exercised for a fixed number of shares of the Company’s Series C Preferred Stock equal to 50% of the principal amount of each warrant divided by the upfront per share price of the Company’s Preferred stock, multiplied by 1.25. The warrants will become exercisable for Common Stock following approval of the Company Stockholder Matters (as defined below), subject to certain beneficial ownership limitations, and (iii) historical Orphai’s options outstanding and unexercised, whether or not vested, were assumed and converted into and became an option to purchase the Company’s Common Stock (1,887,322 as adjusted for the June 29, 2026 reverse stock split). The number of shares of the Company’s Common Stock subject to each option shall be determined by multiplying the number of shares of the Orphai’s Common Stock subject to the option prior to the transaction by the Exchange Ratio, defined as 0.6935, and rounding down to the nearest whole share. The per share exercise price shall be determined by dividing the per share exercise price of the Orphai’s Common Stock in effect prior to the Transaction by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and in connection with the Acquisition, the historical equity structure of Orphai was modified as follows: (a) stockholders of Orphai preferred stock were issued Common Stock or Series C Preferred Stock of the Company, (b) all the outstanding and unexercised warrants of Orphai were cancelled and replaced with a warrant to purchase shares of the Series C Preferred Stock of the Company, and (c) all outstanding convertible notes outstanding were converted into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the Company entered into a Securities Purchase Agreement (the “Purchase Agreement”, “Private Placement”, or “Financing”) with the purchasers named therein. Under the Purchase Agreement, which was a closing condition of the Merger Agreement, the Company agreed to sell an aggregate of (i) 144,200.633 shares of Series C Preferred Stock and (ii) warrants (the “Financing Warrants”) to purchase 72,100.322 shares of Series C Preferred Stock for an aggregate cash purchase price of approximately $115 million (collectively, the “Financing”). Each share of Series C Preferred Stock is convertible into 52.00 shares of Common Stock, as adjusted for the June 29, 2026 reverse stock split, subject to certain conditions, including the approval of such conversion by the Company’s stockholders. Each Financing Warrant will be exercisable beginning on the trading day following the earlier of the Company’s public announcement of (a) top line data from the ongoing LAM-001 Trial and (b) the termination or suspension of the LAM-001 Trial and through the 30th day following such public announcement and will exercisable at a price equal to $996.90 per share of Series C Preferred Stock (or $0.9969 per share on an as-converted-to-common basis) for up to an additional approximately $72 million in additional proceeds if exercised in full. The Financing Warrants will become exercisable for Common Stock following approval of the Company Stockholder Matters (as defined below), subject to certain beneficial ownership limitations.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and the Purchase Agreement the Company has agreed to hold a stockholders’ meeting to submit the following matters to its stockholders for their consideration (i) the approval, in accordance with the rules of the Nasdaq Stock Market, LLC (“Nasdaq”) of the conversion of the Series C Preferred Stock into shares of Common Stock, (ii) the approval of the transactions contemplated by the Merger Agreement and the Financing in accordance with applicable Nasdaq listing rules (the “Nasdaq Proposals”), (iii) the amendment of the Company’s amended and restated certificate of incorporation to authorize an increase to the number of authorized shares of the Company’s Common Stock from 250,000,000 up to 800,000,000 shares of Common Stock (the “Charter Amendment Proposal” and, together with the Conversion Proposal and the Nasdaq Proposals, the “Company Stockholder Matters”), (iv) (a) the approval of the Company’s 2026 Equity Incentive Plan, which will provide for new awards for a number of shares of Common Stock not exceeding 15% of the fully diluted shares of capital stock of the Company outstanding immediately after the Financing, and subject to approval by the board of directors of the Company (the “Board”), and which will include an “evergreen” provision providing for an annual increase of up to 5% of the total number of fully diluted shares of capital stock of the Company outstanding as of the day prior to such increase and (b) the approval of the 2026 Employee Stock Purchase Plan with a total pool of shares of Common Stock not exceeding 1% of the fully diluted shares of capital stock of the Company outstanding immediately after the closing of the Financing, and which will include an “evergreen” provision providing for an annual increase of up to 1% of the total number of fully diluted shares of capital stock of the Company outstanding as of the day prior to such increase, and (v) such other changes or approvals as may be mutually agreed by the Company and Orphai. In connection with these matters, the Company intends to file with the Securities and Exchange Commission (the “SEC”) a proxy statement and other relevant materials.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consolidated financial information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Quince’s audited consolidated financial statements, and related notes thereto, for the year ended December 31, 2025, included in Quince’s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Quince’s unaudited condensed consolidated financial statements and accompanying notes as of and for the three months ended March 31, 2026, included in Quince’s Quarterly Report on Form 10-Q for the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Orphai’s audited financial statements as of and for the year ended December 31, 2025, included as Exhibit 99.1 to this Form 8-K/A;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Orphai’s unaudited financial statements as of and for the three months ended March 31, 2026 and 2025, included as Exhibit 99.2 to this Form 8-K/A;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consolidated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has been prepared by management in accordance with Article 11, Pro Forma Financial Information, under Regulation S-X, and is for illustrative and informational purposes only. The unaudited pro forma condensed combined consolidated financial is not necessarily indicative of what the combined company’s financial position or results of operations actually would have been had the acquisition been consummated as of the dates indicated. In addition, the unaudited pro forma condensed combined consolidated financial information do not purport to project the future financial position or operating results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statements of the Company and Orphai have been adjusted in the accompanying unaudited pro forma condensed combined consolidated financial information give effect to pro forma events which are necessary to account for the Acquisition and the Private Placement, in accordance with accounting principles generally accepted in the United States (“GAAP”). The unaudited pro forma adjustments are based upon available information and certain assumptions that management believes are reasonable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For accounting purposes, the Company is considered to be the acquiring company and the transaction is accounted for as an asset acquisition as Orphai did not meet the definition of a business under Accounting Standard Codification Topic 805, </w:t>
      </w:r>
      <w:r>
        <w:rPr>
          <w:rFonts w:ascii="Times New Roman" w:hAnsi="Times New Roman"/>
          <w:i/>
          <w:sz w:val="20"/>
        </w:rPr>
        <w:t>Business Combinations</w:t>
      </w:r>
      <w:r>
        <w:rPr>
          <w:rFonts w:ascii="Times New Roman" w:hAnsi="Times New Roman"/>
          <w:sz w:val="20"/>
        </w:rPr>
        <w:t xml:space="preserve"> (“ASC 805”) as substantially all of its value was in the In Process Research &amp; Development (“IPR&amp;D”) asset. Accordingly, the assets and liabilities of the Company will be recorded as of the Acquisition closing date at their respective carrying values, and the acquired net assets and assumed liabilities of Orphai will be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the unaudited pro forma condensed combined consolidated financial information is based on the preliminary information available and management’s preliminary valuation of the fair value of tangible and intangible assets acquired and liabilities assumed. The actual purchase accounting assessment may vary based on final analyses of the valuation of assets to be acquired and liabilities to be assumed, particularly in regard to indefinite and definite-lived intangible assets and deferred tax assets and liabilities, which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an initial reverse stock split of our outstanding common stock and Exchangeable Shares at a ratio of 1-for-10, effective as of 11:59 p.m., Eastern Time, on April 10, 2026. The Company has reflected the reverse stock split herein, unless otherwise indicated. However, the information set forth in the Company’s Annual Report on Form 10-K for the year ended December 31, 2025 has not been adjusted to give effect to such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Company effected a second reverse stock split of our outstanding common stock and exchangeable Shares at a ratio of 1-for-20, effective as of 11:59 p.m., Eastern Time, on June 29, 2026. The Company has reflected the reverse stock split herein, unless otherwise indicated. However, the information set forth in the Company’s Annual Report on Form 10-K for the year ended December 31, 2025 and the Company’s Quarterly Report on Form 10-Q for the period ended March 31, 2026 has not been adjusted to give effect to such reverse stock split.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3"/>
        <w:gridCol w:w="153"/>
        <w:gridCol w:w="140"/>
        <w:gridCol w:w="879"/>
        <w:gridCol w:w="155"/>
        <w:gridCol w:w="97"/>
        <w:gridCol w:w="140"/>
        <w:gridCol w:w="879"/>
        <w:gridCol w:w="155"/>
        <w:gridCol w:w="97"/>
        <w:gridCol w:w="195"/>
        <w:gridCol w:w="1124"/>
        <w:gridCol w:w="155"/>
        <w:gridCol w:w="96"/>
        <w:gridCol w:w="140"/>
        <w:gridCol w:w="767"/>
        <w:gridCol w:w="305"/>
        <w:gridCol w:w="97"/>
        <w:gridCol w:w="60"/>
        <w:gridCol w:w="235"/>
        <w:gridCol w:w="155"/>
        <w:gridCol w:w="97"/>
        <w:gridCol w:w="149"/>
        <w:gridCol w:w="957"/>
        <w:gridCol w:w="165"/>
      </w:tblGrid>
      <w:tr>
        <w:trPr/>
        <w:tc>
          <w:tcPr>
            <w:tcW w:w="281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Quince</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pPr>
            <w:r>
              <w:rPr>
                <w:b/>
              </w:rPr>
              <w:t>Orphai</w:t>
            </w:r>
            <w:r>
              <w:rPr/>
              <w:br/>
            </w:r>
            <w:r>
              <w:rPr>
                <w:b/>
              </w:rPr>
              <w:t>(a)</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Private</w:t>
              <w:br/>
              <w:t>Placement</w:t>
              <w:br/>
              <w:t>Adjustments</w:t>
              <w:br/>
              <w:t>(b)</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Acquisition Pro</w:t>
              <w:br/>
              <w:t>Forma</w:t>
              <w:br/>
              <w:t>Adjustments</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Company</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5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5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18,163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431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115,000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(4,298</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right"/>
              <w:rPr>
                <w:b/>
              </w:rPr>
            </w:pPr>
            <w:r>
              <w:rPr>
                <w:b/>
              </w:rPr>
              <w:t>(c</w:t>
            </w:r>
          </w:p>
        </w:tc>
        <w:tc>
          <w:tcPr>
            <w:tcW w:w="155"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129,296</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7,417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7,683</w:t>
            </w:r>
          </w:p>
        </w:tc>
        <w:tc>
          <w:tcPr>
            <w:tcW w:w="165"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25,580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115,000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(4,298</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136,979</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550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550</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415</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78</w:t>
            </w:r>
          </w:p>
        </w:tc>
        <w:tc>
          <w:tcPr>
            <w:tcW w:w="165"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26,623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115,000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(4,298</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138,022</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5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MEZZANINE EQUITY AND STOCKHOLDERS’ EQUITY</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5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5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5,392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1,726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57" w:type="dxa"/>
            <w:tcBorders/>
            <w:vAlign w:val="bottom"/>
          </w:tcPr>
          <w:p>
            <w:pPr>
              <w:pStyle w:val="TableContents"/>
              <w:bidi w:val="0"/>
              <w:spacing w:before="0" w:after="283"/>
              <w:jc w:val="right"/>
              <w:rPr/>
            </w:pPr>
            <w:r>
              <w:rPr/>
              <w:t>7,118</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3,376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620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11,361</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2,139</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right"/>
              <w:rPr>
                <w:b/>
              </w:rPr>
            </w:pPr>
            <w:r>
              <w:rPr>
                <w:b/>
              </w:rPr>
              <w:t>(d</w:t>
            </w:r>
          </w:p>
        </w:tc>
        <w:tc>
          <w:tcPr>
            <w:tcW w:w="155"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17,496</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8,768</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2,346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11,361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2,139</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24,614</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293</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10,447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(10,447</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right"/>
              <w:rPr>
                <w:b/>
              </w:rPr>
            </w:pPr>
            <w:r>
              <w:rPr>
                <w:b/>
              </w:rPr>
              <w:t>(e</w:t>
            </w:r>
          </w:p>
        </w:tc>
        <w:tc>
          <w:tcPr>
            <w:tcW w:w="155" w:type="dxa"/>
            <w:tcBorders/>
            <w:vAlign w:val="bottom"/>
          </w:tcPr>
          <w:p>
            <w:pPr>
              <w:pStyle w:val="TableContents"/>
              <w:bidi w:val="0"/>
              <w:spacing w:before="0" w:after="283"/>
              <w:jc w:val="left"/>
              <w:rPr>
                <w:b/>
              </w:rPr>
            </w:pPr>
            <w:r>
              <w:rPr>
                <w:b/>
              </w:rPr>
              <w:t>) </w:t>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694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3,012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11,536</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58</w:t>
            </w:r>
          </w:p>
        </w:tc>
        <w:tc>
          <w:tcPr>
            <w:tcW w:w="305" w:type="dxa"/>
            <w:tcBorders/>
            <w:shd w:fill="CCEEFF" w:val="clear"/>
            <w:vAlign w:val="bottom"/>
          </w:tcPr>
          <w:p>
            <w:pPr>
              <w:pStyle w:val="TableContents"/>
              <w:bidi w:val="0"/>
              <w:spacing w:before="0" w:after="283"/>
              <w:jc w:val="left"/>
              <w:rPr/>
            </w:pPr>
            <w:r>
              <w:rPr/>
              <w:t>(f)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15,300</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1,196</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1,196</w:t>
            </w:r>
          </w:p>
        </w:tc>
        <w:tc>
          <w:tcPr>
            <w:tcW w:w="165"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10,951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15,805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22,897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(8,250</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41,403</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Mezzanine equity:</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5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8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 Series C</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93,243</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48,146</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right"/>
              <w:rPr>
                <w:b/>
              </w:rPr>
            </w:pPr>
            <w:r>
              <w:rPr>
                <w:b/>
              </w:rPr>
              <w:t>(g</w:t>
            </w:r>
          </w:p>
        </w:tc>
        <w:tc>
          <w:tcPr>
            <w:tcW w:w="155"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141,389</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35,912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(35,912</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right"/>
              <w:rPr>
                <w:b/>
              </w:rPr>
            </w:pPr>
            <w:r>
              <w:rPr>
                <w:b/>
              </w:rPr>
              <w:t>(h</w:t>
            </w:r>
          </w:p>
        </w:tc>
        <w:tc>
          <w:tcPr>
            <w:tcW w:w="155" w:type="dxa"/>
            <w:tcBorders/>
            <w:vAlign w:val="bottom"/>
          </w:tcPr>
          <w:p>
            <w:pPr>
              <w:pStyle w:val="TableContents"/>
              <w:bidi w:val="0"/>
              <w:spacing w:before="0" w:after="283"/>
              <w:jc w:val="left"/>
              <w:rPr>
                <w:b/>
              </w:rPr>
            </w:pPr>
            <w:r>
              <w:rPr>
                <w:b/>
              </w:rPr>
              <w:t>) </w:t>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5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(475</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right"/>
              <w:rPr>
                <w:b/>
              </w:rPr>
            </w:pPr>
            <w:r>
              <w:rPr>
                <w:b/>
              </w:rPr>
              <w:t>(h</w:t>
            </w:r>
          </w:p>
        </w:tc>
        <w:tc>
          <w:tcPr>
            <w:tcW w:w="155"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17</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435,587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78,463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(71,881</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right"/>
              <w:rPr>
                <w:b/>
              </w:rPr>
            </w:pPr>
            <w:r>
              <w:rPr>
                <w:b/>
              </w:rPr>
              <w:t>(h</w:t>
            </w:r>
          </w:p>
        </w:tc>
        <w:tc>
          <w:tcPr>
            <w:tcW w:w="155" w:type="dxa"/>
            <w:tcBorders/>
            <w:vAlign w:val="bottom"/>
          </w:tcPr>
          <w:p>
            <w:pPr>
              <w:pStyle w:val="TableContents"/>
              <w:bidi w:val="0"/>
              <w:spacing w:before="0" w:after="283"/>
              <w:jc w:val="left"/>
              <w:rPr>
                <w:b/>
              </w:rPr>
            </w:pPr>
            <w:r>
              <w:rPr>
                <w:b/>
              </w:rPr>
              <w:t>) </w:t>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442,169</w:t>
            </w:r>
          </w:p>
        </w:tc>
        <w:tc>
          <w:tcPr>
            <w:tcW w:w="165"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4,610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4,610</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(424,539</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(129,961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(1,140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64,074</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right"/>
              <w:rPr>
                <w:b/>
              </w:rPr>
            </w:pPr>
            <w:r>
              <w:rPr>
                <w:b/>
              </w:rPr>
              <w:t>(h</w:t>
            </w:r>
          </w:p>
        </w:tc>
        <w:tc>
          <w:tcPr>
            <w:tcW w:w="155" w:type="dxa"/>
            <w:tcBorders/>
            <w:vAlign w:val="bottom"/>
          </w:tcPr>
          <w:p>
            <w:pPr>
              <w:pStyle w:val="TableContents"/>
              <w:bidi w:val="0"/>
              <w:spacing w:before="0" w:after="283"/>
              <w:jc w:val="left"/>
              <w:rPr>
                <w:b/>
              </w:rPr>
            </w:pPr>
            <w:r>
              <w:rPr>
                <w:b/>
              </w:rPr>
              <w:t>) </w:t>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(491,566</w:t>
            </w:r>
          </w:p>
        </w:tc>
        <w:tc>
          <w:tcPr>
            <w:tcW w:w="165"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15,672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(51,020</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(1,140</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(8,282</w:t>
            </w:r>
          </w:p>
        </w:tc>
        <w:tc>
          <w:tcPr>
            <w:tcW w:w="30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(44,770</w:t>
            </w:r>
          </w:p>
        </w:tc>
        <w:tc>
          <w:tcPr>
            <w:tcW w:w="165"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mezzanine equity and stockholders’ equity</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26,623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697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115,000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(4,298</w:t>
            </w:r>
          </w:p>
        </w:tc>
        <w:tc>
          <w:tcPr>
            <w:tcW w:w="30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57" w:type="dxa"/>
            <w:tcBorders/>
            <w:vAlign w:val="bottom"/>
          </w:tcPr>
          <w:p>
            <w:pPr>
              <w:pStyle w:val="TableContents"/>
              <w:bidi w:val="0"/>
              <w:spacing w:before="0" w:after="283"/>
              <w:jc w:val="right"/>
              <w:rPr/>
            </w:pPr>
            <w:r>
              <w:rPr/>
              <w:t>138,022</w:t>
            </w:r>
          </w:p>
        </w:tc>
        <w:tc>
          <w:tcPr>
            <w:tcW w:w="165"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30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5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1"/>
        <w:gridCol w:w="148"/>
        <w:gridCol w:w="140"/>
        <w:gridCol w:w="813"/>
        <w:gridCol w:w="155"/>
        <w:gridCol w:w="91"/>
        <w:gridCol w:w="140"/>
        <w:gridCol w:w="656"/>
        <w:gridCol w:w="155"/>
        <w:gridCol w:w="91"/>
        <w:gridCol w:w="352"/>
        <w:gridCol w:w="981"/>
        <w:gridCol w:w="60"/>
        <w:gridCol w:w="148"/>
        <w:gridCol w:w="140"/>
        <w:gridCol w:w="1132"/>
        <w:gridCol w:w="155"/>
        <w:gridCol w:w="91"/>
        <w:gridCol w:w="60"/>
        <w:gridCol w:w="221"/>
        <w:gridCol w:w="155"/>
        <w:gridCol w:w="91"/>
        <w:gridCol w:w="140"/>
        <w:gridCol w:w="1133"/>
        <w:gridCol w:w="155"/>
        <w:gridCol w:w="91"/>
        <w:gridCol w:w="60"/>
        <w:gridCol w:w="236"/>
        <w:gridCol w:w="164"/>
      </w:tblGrid>
      <w:tr>
        <w:trPr/>
        <w:tc>
          <w:tcPr>
            <w:tcW w:w="2251"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Quince</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Orphai</w:t>
              <w:br/>
              <w:t>(a)</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Private</w:t>
              <w:br/>
              <w:t>Placement</w:t>
              <w:br/>
              <w:t>Adjustments</w:t>
              <w:br/>
              <w:t>(b)</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Acquisition Pro</w:t>
              <w:br/>
              <w:t>Forma</w:t>
              <w:br/>
              <w:t>Adjustments</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Company</w:t>
            </w:r>
          </w:p>
        </w:tc>
        <w:tc>
          <w:tcPr>
            <w:tcW w:w="164"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6,845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56" w:type="dxa"/>
            <w:tcBorders/>
            <w:vAlign w:val="bottom"/>
          </w:tcPr>
          <w:p>
            <w:pPr>
              <w:pStyle w:val="TableContents"/>
              <w:bidi w:val="0"/>
              <w:spacing w:before="0" w:after="283"/>
              <w:jc w:val="right"/>
              <w:rPr/>
            </w:pPr>
            <w:r>
              <w:rPr/>
              <w:t>1,410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8,255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4,267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1,009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5,276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 impairment charge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67,808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67,808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for contingent consideration</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(64,330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(64,330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14,590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2,419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17,009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(14,590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(2,419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(17,009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for debt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12,168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12,168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adjustment of notes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(946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946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b/>
              </w:rPr>
            </w:pPr>
            <w:r>
              <w:rPr>
                <w:b/>
              </w:rPr>
              <w:t>(f</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adjustment of warrants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31,116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397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(397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right"/>
              <w:rPr>
                <w:b/>
              </w:rPr>
            </w:pPr>
            <w:r>
              <w:rPr>
                <w:b/>
              </w:rPr>
              <w:t>(f</w:t>
            </w:r>
          </w:p>
        </w:tc>
        <w:tc>
          <w:tcPr>
            <w:tcW w:w="155" w:type="dxa"/>
            <w:tcBorders/>
            <w:vAlign w:val="bottom"/>
          </w:tcPr>
          <w:p>
            <w:pPr>
              <w:pStyle w:val="TableContents"/>
              <w:bidi w:val="0"/>
              <w:spacing w:before="0" w:after="283"/>
              <w:jc w:val="left"/>
              <w:rPr>
                <w:b/>
              </w:rPr>
            </w:pPr>
            <w:r>
              <w:rPr>
                <w:b/>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31,116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1,719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1,735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before income tax benefit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30,573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(2,949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28,173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(loss)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5,339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5,339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35,912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(2,949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549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33,512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(1,135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(1,135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available-for-sale securities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income (loss)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34,772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6" w:type="dxa"/>
            <w:tcBorders/>
            <w:shd w:fill="CCEEFF" w:val="clear"/>
            <w:vAlign w:val="bottom"/>
          </w:tcPr>
          <w:p>
            <w:pPr>
              <w:pStyle w:val="TableContents"/>
              <w:bidi w:val="0"/>
              <w:spacing w:before="0" w:after="283"/>
              <w:jc w:val="right"/>
              <w:rPr/>
            </w:pPr>
            <w:r>
              <w:rPr/>
              <w:t>(2,949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549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32,372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 (1)</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71.91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2.88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right"/>
              <w:rPr>
                <w:b/>
              </w:rPr>
            </w:pPr>
            <w:r>
              <w:rPr>
                <w:b/>
              </w:rPr>
              <w:t>(h</w:t>
            </w:r>
          </w:p>
        </w:tc>
        <w:tc>
          <w:tcPr>
            <w:tcW w:w="164" w:type="dxa"/>
            <w:tcBorders/>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(1)</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456,014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11,150,699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b/>
              </w:rPr>
            </w:pPr>
            <w:r>
              <w:rPr>
                <w:b/>
              </w:rPr>
              <w:t>(g</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11,606,713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right"/>
              <w:rPr>
                <w:b/>
              </w:rPr>
            </w:pPr>
            <w:r>
              <w:rPr>
                <w:b/>
              </w:rPr>
              <w:t>(h</w:t>
            </w:r>
          </w:p>
        </w:tc>
        <w:tc>
          <w:tcPr>
            <w:tcW w:w="164" w:type="dxa"/>
            <w:tcBorders/>
            <w:shd w:fill="CCEEFF" w:val="clear"/>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 (1)</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57.58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right"/>
              <w:rPr>
                <w:b/>
              </w:rPr>
            </w:pPr>
            <w:r>
              <w:rPr>
                <w:b/>
              </w:rPr>
              <w:t>(h</w:t>
            </w:r>
          </w:p>
        </w:tc>
        <w:tc>
          <w:tcPr>
            <w:tcW w:w="164" w:type="dxa"/>
            <w:tcBorders/>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 (1)</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459,520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11,150,699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right"/>
              <w:rPr>
                <w:b/>
              </w:rPr>
            </w:pPr>
            <w:r>
              <w:rPr>
                <w:b/>
              </w:rPr>
              <w:t>(g</w:t>
            </w:r>
          </w:p>
        </w:tc>
        <w:tc>
          <w:tcPr>
            <w:tcW w:w="155" w:type="dxa"/>
            <w:tcBorders/>
            <w:shd w:fill="CCEEFF" w:val="clear"/>
            <w:vAlign w:val="bottom"/>
          </w:tcPr>
          <w:p>
            <w:pPr>
              <w:pStyle w:val="TableContents"/>
              <w:bidi w:val="0"/>
              <w:spacing w:before="0" w:after="283"/>
              <w:jc w:val="left"/>
              <w:rPr>
                <w:b/>
              </w:rPr>
            </w:pPr>
            <w:r>
              <w:rPr>
                <w:b/>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11,610,219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right"/>
              <w:rPr>
                <w:b/>
              </w:rPr>
            </w:pPr>
            <w:r>
              <w:rPr>
                <w:b/>
              </w:rPr>
              <w:t>(h</w:t>
            </w:r>
          </w:p>
        </w:tc>
        <w:tc>
          <w:tcPr>
            <w:tcW w:w="164" w:type="dxa"/>
            <w:tcBorders/>
            <w:shd w:fill="CCEEFF" w:val="clear"/>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prior period net income (loss) per share and weighted average of common shares outstanding to reflect the 1-for-20 reverse stock split effected on June 29, 2026.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5"/>
        <w:gridCol w:w="131"/>
        <w:gridCol w:w="140"/>
        <w:gridCol w:w="804"/>
        <w:gridCol w:w="155"/>
        <w:gridCol w:w="72"/>
        <w:gridCol w:w="140"/>
        <w:gridCol w:w="760"/>
        <w:gridCol w:w="155"/>
        <w:gridCol w:w="72"/>
        <w:gridCol w:w="336"/>
        <w:gridCol w:w="1538"/>
        <w:gridCol w:w="155"/>
        <w:gridCol w:w="72"/>
        <w:gridCol w:w="140"/>
        <w:gridCol w:w="1110"/>
        <w:gridCol w:w="155"/>
        <w:gridCol w:w="72"/>
        <w:gridCol w:w="60"/>
        <w:gridCol w:w="232"/>
        <w:gridCol w:w="155"/>
        <w:gridCol w:w="72"/>
        <w:gridCol w:w="140"/>
        <w:gridCol w:w="1104"/>
        <w:gridCol w:w="155"/>
        <w:gridCol w:w="72"/>
        <w:gridCol w:w="60"/>
        <w:gridCol w:w="230"/>
        <w:gridCol w:w="163"/>
      </w:tblGrid>
      <w:tr>
        <w:trPr/>
        <w:tc>
          <w:tcPr>
            <w:tcW w:w="17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Quince</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Orphai</w:t>
              <w:br/>
              <w:t>(a)</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Private Placement</w:t>
              <w:br/>
              <w:t>Adjustments (b)</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7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Acquisition Pro</w:t>
              <w:br/>
              <w:t>Forma Adjustments</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7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Company</w:t>
            </w:r>
          </w:p>
        </w:tc>
        <w:tc>
          <w:tcPr>
            <w:tcW w:w="163" w:type="dxa"/>
            <w:tcBorders/>
            <w:vAlign w:val="bottom"/>
          </w:tcPr>
          <w:p>
            <w:pPr>
              <w:pStyle w:val="TableContents"/>
              <w:bidi w:val="0"/>
              <w:spacing w:before="0" w:after="283"/>
              <w:jc w:val="left"/>
              <w:rPr/>
            </w:pPr>
            <w:r>
              <w:rPr/>
              <w:t> </w:t>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35,382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4,004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59,000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b/>
              </w:rPr>
            </w:pPr>
            <w:r>
              <w:rPr>
                <w:b/>
              </w:rPr>
              <w:t>(c</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98,386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15,047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2,162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6,437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right"/>
              <w:rPr>
                <w:b/>
              </w:rPr>
            </w:pPr>
            <w:r>
              <w:rPr>
                <w:b/>
              </w:rPr>
              <w:t>(d</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23,646</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Goodwill impairment charge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for contingent consideration</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7,639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7,639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on acquisition</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b/>
              </w:rPr>
            </w:pPr>
            <w:r>
              <w:rPr>
                <w:b/>
              </w:rPr>
              <w:t>(e</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58,068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6,166</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65,887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130,121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(58,068</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(6,166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(65,887</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(130,121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for debt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(2,043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(2,043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adjustment of notes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(1,413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1,413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b/>
              </w:rPr>
            </w:pPr>
            <w:r>
              <w:rPr>
                <w:b/>
              </w:rPr>
              <w:t>(f</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adjustment of warrants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(21,470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right"/>
              <w:rPr>
                <w:b/>
              </w:rPr>
            </w:pPr>
            <w:r>
              <w:rPr>
                <w:b/>
              </w:rPr>
              <w:t>(f</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(21,470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of exchange of convertible notes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b/>
              </w:rPr>
            </w:pPr>
            <w:r>
              <w:rPr>
                <w:b/>
              </w:rPr>
              <w:t>(f</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issuance costs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(914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(1,140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(2,054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1,244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1,276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486</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482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Net loss before income tax expense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(80,765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(11,292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(1,140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(60,733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(153,930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(3,214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(3,214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(83,979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(11,292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(1,140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(60,733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(157,144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5,849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5,849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(loss) on available-for-sale securities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(78,194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(11,292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(1,140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(60,733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(151,359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 (1)</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(335.27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(13.78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right"/>
              <w:rPr>
                <w:b/>
              </w:rPr>
            </w:pPr>
            <w:r>
              <w:rPr>
                <w:b/>
              </w:rPr>
              <w:t>(h</w:t>
            </w:r>
          </w:p>
        </w:tc>
        <w:tc>
          <w:tcPr>
            <w:tcW w:w="163" w:type="dxa"/>
            <w:tcBorders/>
            <w:shd w:fill="CCEEFF" w:val="clear"/>
            <w:vAlign w:val="bottom"/>
          </w:tcPr>
          <w:p>
            <w:pPr>
              <w:pStyle w:val="TableContents"/>
              <w:bidi w:val="0"/>
              <w:spacing w:before="0" w:after="283"/>
              <w:jc w:val="left"/>
              <w:rPr>
                <w:b/>
              </w:rPr>
            </w:pPr>
            <w:r>
              <w:rPr>
                <w:b/>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sz w:val="4"/>
                <w:szCs w:val="4"/>
              </w:rPr>
            </w:pPr>
            <w:r>
              <w:rPr>
                <w:sz w:val="4"/>
                <w:szCs w:val="4"/>
              </w:rPr>
            </w:r>
          </w:p>
        </w:tc>
        <w:tc>
          <w:tcPr>
            <w:tcW w:w="15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7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 (1)</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250,484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sz w:val="4"/>
                <w:szCs w:val="4"/>
              </w:rPr>
            </w:pPr>
            <w:r>
              <w:rPr>
                <w:sz w:val="4"/>
                <w:szCs w:val="4"/>
              </w:rPr>
            </w:r>
          </w:p>
        </w:tc>
        <w:tc>
          <w:tcPr>
            <w:tcW w:w="15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11,150,699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right"/>
              <w:rPr>
                <w:b/>
              </w:rPr>
            </w:pPr>
            <w:r>
              <w:rPr>
                <w:b/>
              </w:rPr>
              <w:t>(g</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11,401,183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b/>
              </w:rPr>
            </w:pPr>
            <w:r>
              <w:rPr>
                <w:b/>
              </w:rPr>
              <w:t>(h</w:t>
            </w:r>
          </w:p>
        </w:tc>
        <w:tc>
          <w:tcPr>
            <w:tcW w:w="163" w:type="dxa"/>
            <w:tcBorders/>
            <w:vAlign w:val="bottom"/>
          </w:tcPr>
          <w:p>
            <w:pPr>
              <w:pStyle w:val="TableContents"/>
              <w:bidi w:val="0"/>
              <w:spacing w:before="0" w:after="283"/>
              <w:jc w:val="left"/>
              <w:rPr>
                <w:b/>
              </w:rPr>
            </w:pPr>
            <w:r>
              <w:rPr>
                <w:b/>
              </w:rPr>
              <w:t>) </w:t>
            </w:r>
          </w:p>
        </w:tc>
      </w:tr>
      <w:tr>
        <w:trPr/>
        <w:tc>
          <w:tcPr>
            <w:tcW w:w="17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sz w:val="4"/>
                <w:szCs w:val="4"/>
              </w:rPr>
            </w:pPr>
            <w:r>
              <w:rPr>
                <w:sz w:val="4"/>
                <w:szCs w:val="4"/>
              </w:rPr>
            </w:r>
          </w:p>
        </w:tc>
        <w:tc>
          <w:tcPr>
            <w:tcW w:w="15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prior period net income (loss) per share and weighted average of common shares outstanding to reflect the 1-for-10 reverse stock split effected on April 10, 2026 and 1-for-20 reverse stock split effected on June 29, 2026.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CONSOLIDATED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 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consolidated financial information and related notes are prepared in accordance with Article 11 of Regulation S-X, Pro Forma Financial Information, as amended by the final rule, Amendments to Financial Disclosures About Acquired and Disposed Businesses, as adopted by the SEC on May 20, 2020.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used in the preparation of the unaudited pro forma consolidated and combined financial information are those set forth in the Company’s audited consolidated financial statements for the year ended December 31, 2025. Management conducted a comprehensive review of the accounting policies of both the Company and Orphai to identify potential policy differences. Based on information available and management’s current understanding, no significant accounting policy differences have been identified that would require adjustments to the unaudited pro forma consolidated and combined financial information. Both the Company’s and Orphai’s historical financial statements were prepared in accordance with GAAP and presented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was prepared under the assumption that the Company is the accounting acquirer. The Company identified Orphai as a variable interest entity (“VIE”) under Accounting Standard Codification Topic 810, </w:t>
      </w:r>
      <w:r>
        <w:rPr>
          <w:rFonts w:ascii="Times New Roman" w:hAnsi="Times New Roman"/>
          <w:i/>
          <w:sz w:val="20"/>
        </w:rPr>
        <w:t xml:space="preserve">Consolidations </w:t>
      </w:r>
      <w:r>
        <w:rPr>
          <w:rFonts w:ascii="Times New Roman" w:hAnsi="Times New Roman"/>
          <w:sz w:val="20"/>
        </w:rPr>
        <w:t xml:space="preserve">(ASC 810), where the Company is the primary beneficiary. The transaction is accounted for as an asset acquisition as Orphai did not meet the definition of a business under Accounting Standard Codification Topic 805, </w:t>
      </w:r>
      <w:r>
        <w:rPr>
          <w:rFonts w:ascii="Times New Roman" w:hAnsi="Times New Roman"/>
          <w:i/>
          <w:sz w:val="20"/>
        </w:rPr>
        <w:t>Business Combinations</w:t>
      </w:r>
      <w:r>
        <w:rPr>
          <w:rFonts w:ascii="Times New Roman" w:hAnsi="Times New Roman"/>
          <w:sz w:val="20"/>
        </w:rPr>
        <w:t xml:space="preserve"> (“ASC 805”) as substantially all of its value was in the In Process Research &amp; Development asset. Accordingly, the assets and liabilities of the Company will be recorded as of the Acquisition closing date at their respective carrying values, and the acquired net assets and assumed net liabilities of Orphai will be recorded as of the Acquisition closing date at their fair value. The Company was determined to be the accounting acquirer based upon the terms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balance sheet as of March 31, 2026 combines the historical consolidated balance sheets of Quince and Orphai as of such date, giving effect to adjustments depicting the accounting for the Acquisition and Private Placement. The unaudited pro forma condensed combined consolidated statements of operations for the three months ended March 31, 2026 and the year ended December 31, 2025, combines the historical consolidated statements of operations of Quince and Orphai, giving effect to adjustments made on the unaudited pro forma condensed combined consolidated balance sheet depicting the accounting for the Acquisition and Private Placement assuming the Acquisition and Private Placement were consummated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and related notes are provided for illustrative purposes only and do not purport to represent what the combined company’s actual results of operations or financial position would have been had the Acquisition been completed on the dates indicated, nor are they necessarily indicative of the combined company’s future results of operations or financial position for any future period. The actual financial position and results of operations may differ significantly from the pro forma amounts reflected herein.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consolidated financial information also do not reflect any cost savings or operating synergies that the combined company may achieve as a result of the Acquisition, the total expected costs to integrate the operations of Quince and Orphai, or the total expected costs necessary to achieve such cost savings and operating synergies. Although the Company believes that certain cost savings may result from the Acquisition, there can be no assurance that these cost savings will be achieved.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Estimate of Consideration Transferred and Preliminary Allocation of Consideration Transferred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accounted for under asset acquisition accounting in accordance with ASC 805, and as such, assets acquired and liabilities assumed were recorded at their estimated fair values on the acquisition date. Under ASC 810, the Company had identified Orphai as a VIE but did not meet the definition of a business, no goodwill is recognized and in accordance with ASC 805, a loss (or gain) is recognized for the difference between the consideration transferred and the fair value of the net assets acquired. The fair value of the assets and liabilities in the unaudited pro forma condensed combined consolidated financial information are based upon a preliminary assessment of fair value and may change as the valuation for the intangible asset is finalized.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preliminary estimated consideration transferred totaled $58.6 million, summarized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85"/>
        <w:gridCol w:w="522"/>
        <w:gridCol w:w="249"/>
        <w:gridCol w:w="1220"/>
        <w:gridCol w:w="63"/>
      </w:tblGrid>
      <w:tr>
        <w:trPr/>
        <w:tc>
          <w:tcPr>
            <w:tcW w:w="4885"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85"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 of</w:t>
              <w:br/>
              <w:t>Consideration</w:t>
            </w:r>
          </w:p>
        </w:tc>
        <w:tc>
          <w:tcPr>
            <w:tcW w:w="63"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consideration (a)</w:t>
            </w:r>
          </w:p>
        </w:tc>
        <w:tc>
          <w:tcPr>
            <w:tcW w:w="52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3,242</w:t>
            </w:r>
          </w:p>
        </w:tc>
        <w:tc>
          <w:tcPr>
            <w:tcW w:w="63"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consideration (b)</w:t>
            </w:r>
          </w:p>
        </w:tc>
        <w:tc>
          <w:tcPr>
            <w:tcW w:w="52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48,146</w:t>
            </w:r>
          </w:p>
        </w:tc>
        <w:tc>
          <w:tcPr>
            <w:tcW w:w="63"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consideration (c)</w:t>
            </w:r>
          </w:p>
        </w:tc>
        <w:tc>
          <w:tcPr>
            <w:tcW w:w="52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3,070</w:t>
            </w:r>
          </w:p>
        </w:tc>
        <w:tc>
          <w:tcPr>
            <w:tcW w:w="63"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Times New Roman" w:hAnsi="Times New Roman"/>
                <w:sz w:val="20"/>
              </w:rPr>
            </w:pPr>
            <w:r>
              <w:rPr>
                <w:rFonts w:ascii="Times New Roman" w:hAnsi="Times New Roman"/>
                <w:sz w:val="20"/>
              </w:rPr>
              <w:t>Assumed share-based awards (d)</w:t>
            </w:r>
          </w:p>
        </w:tc>
        <w:tc>
          <w:tcPr>
            <w:tcW w:w="522"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4,161</w:t>
            </w:r>
          </w:p>
        </w:tc>
        <w:tc>
          <w:tcPr>
            <w:tcW w:w="63" w:type="dxa"/>
            <w:tcBorders/>
            <w:vAlign w:val="bottom"/>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total consideration transferred</w:t>
            </w:r>
          </w:p>
        </w:tc>
        <w:tc>
          <w:tcPr>
            <w:tcW w:w="522"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58,619</w:t>
            </w:r>
          </w:p>
        </w:tc>
        <w:tc>
          <w:tcPr>
            <w:tcW w:w="63" w:type="dxa"/>
            <w:tcBorders/>
            <w:shd w:fill="CCEEFF" w:val="clear"/>
            <w:vAlign w:val="bottom"/>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5"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estimated fair value of consideration transferred was based on 162,971 shares of Common Stock issued multiplied by the closing price of Quince common stock as of the acquisition date of May 18,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estimated fair value of 67,101.235 shares of Series C Preferred Stock was based on the fair value of the Series C Preferred Stock issued in the Private Placement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warrants issued was determined utilizing the Black-Scholes-Merton option pricing model. Quince issued 10,964.505 warrants of Series C Preferred Stock.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award to purchase shares of Orphai Common Stock was converted into an option award in respect of a number of shares of common stock of the Company equal to the product of (i) the number of shares of Orphai Common Stock subject to the award (1,887,322) multiplied by (ii) the equity award Exchange Ratio of 0.6935.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calculation of consideration transferred includes the portion of fair-value-based measure of the acquiree award that relates to the pre-combination service period in consideration transferred. The excess value of the replacement Quince awards as well as the fair-value-based measure of the acquiree award related to the post combination service period will be recorded as post combination compensation cost over the remaining service term.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 forma analysis, the above estimated consideration transferred has been allocated based on a preliminary estimate of the fair value of assets and liabilities to be acquired, with the excess recorded to loss on acquisition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07"/>
        <w:gridCol w:w="678"/>
        <w:gridCol w:w="374"/>
        <w:gridCol w:w="1823"/>
        <w:gridCol w:w="157"/>
      </w:tblGrid>
      <w:tr>
        <w:trPr/>
        <w:tc>
          <w:tcPr>
            <w:tcW w:w="3907"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bidi w:val="0"/>
              <w:spacing w:before="0" w:after="283"/>
              <w:jc w:val="left"/>
              <w:rPr>
                <w:b/>
              </w:rPr>
            </w:pPr>
            <w:r>
              <w:rPr>
                <w:b/>
              </w:rPr>
              <w:t>Preliminary estimate of the assets acquired and liabilities assumed</w:t>
            </w:r>
          </w:p>
        </w:tc>
        <w:tc>
          <w:tcPr>
            <w:tcW w:w="678" w:type="dxa"/>
            <w:tcBorders/>
            <w:vAlign w:val="bottom"/>
          </w:tcPr>
          <w:p>
            <w:pPr>
              <w:pStyle w:val="TableContents"/>
              <w:bidi w:val="0"/>
              <w:spacing w:before="0" w:after="283"/>
              <w:jc w:val="left"/>
              <w:rPr/>
            </w:pPr>
            <w:r>
              <w:rPr/>
              <w:t>  </w:t>
            </w:r>
          </w:p>
        </w:tc>
        <w:tc>
          <w:tcPr>
            <w:tcW w:w="2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Fair Value</w:t>
            </w:r>
          </w:p>
        </w:tc>
        <w:tc>
          <w:tcPr>
            <w:tcW w:w="15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acquired:</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sz w:val="4"/>
                <w:szCs w:val="4"/>
              </w:rPr>
            </w:pPr>
            <w:r>
              <w:rPr>
                <w:sz w:val="4"/>
                <w:szCs w:val="4"/>
              </w:rPr>
            </w:r>
          </w:p>
        </w:tc>
        <w:tc>
          <w:tcPr>
            <w:tcW w:w="182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w:t>
            </w:r>
          </w:p>
        </w:tc>
        <w:tc>
          <w:tcPr>
            <w:tcW w:w="1823" w:type="dxa"/>
            <w:tcBorders/>
            <w:vAlign w:val="bottom"/>
          </w:tcPr>
          <w:p>
            <w:pPr>
              <w:pStyle w:val="TableContents"/>
              <w:bidi w:val="0"/>
              <w:spacing w:before="0" w:after="283"/>
              <w:jc w:val="right"/>
              <w:rPr/>
            </w:pPr>
            <w:r>
              <w:rPr/>
              <w:t>8,001</w:t>
            </w:r>
          </w:p>
        </w:tc>
        <w:tc>
          <w:tcPr>
            <w:tcW w:w="157"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expenses</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451</w:t>
            </w:r>
          </w:p>
        </w:tc>
        <w:tc>
          <w:tcPr>
            <w:tcW w:w="15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In-process research and development (“IPR&amp;D”) (e)</w:t>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59,000</w:t>
            </w:r>
          </w:p>
        </w:tc>
        <w:tc>
          <w:tcPr>
            <w:tcW w:w="157"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67,452</w:t>
            </w:r>
          </w:p>
        </w:tc>
        <w:tc>
          <w:tcPr>
            <w:tcW w:w="15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82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(3,097</w:t>
            </w:r>
          </w:p>
        </w:tc>
        <w:tc>
          <w:tcPr>
            <w:tcW w:w="157"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(6,186</w:t>
            </w:r>
          </w:p>
        </w:tc>
        <w:tc>
          <w:tcPr>
            <w:tcW w:w="157"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823" w:type="dxa"/>
            <w:tcBorders/>
            <w:shd w:fill="CCEEFF" w:val="clear"/>
            <w:vAlign w:val="bottom"/>
          </w:tcPr>
          <w:p>
            <w:pPr>
              <w:pStyle w:val="TableContents"/>
              <w:bidi w:val="0"/>
              <w:spacing w:before="0" w:after="283"/>
              <w:jc w:val="right"/>
              <w:rPr/>
            </w:pPr>
            <w:r>
              <w:rPr/>
              <w:t>(9,283</w:t>
            </w:r>
          </w:p>
        </w:tc>
        <w:tc>
          <w:tcPr>
            <w:tcW w:w="157" w:type="dxa"/>
            <w:tcBorders/>
            <w:shd w:fill="CCEEFF" w:val="clear"/>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assets acquired and liabilities assumed</w:t>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823" w:type="dxa"/>
            <w:tcBorders/>
            <w:vAlign w:val="bottom"/>
          </w:tcPr>
          <w:p>
            <w:pPr>
              <w:pStyle w:val="TableContents"/>
              <w:bidi w:val="0"/>
              <w:spacing w:before="0" w:after="283"/>
              <w:jc w:val="right"/>
              <w:rPr/>
            </w:pPr>
            <w:r>
              <w:rPr/>
              <w:t>58,169</w:t>
            </w:r>
          </w:p>
        </w:tc>
        <w:tc>
          <w:tcPr>
            <w:tcW w:w="157"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acquisition (f)</w:t>
            </w:r>
          </w:p>
        </w:tc>
        <w:tc>
          <w:tcPr>
            <w:tcW w:w="678"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823" w:type="dxa"/>
            <w:tcBorders/>
            <w:shd w:fill="CCEEFF" w:val="clear"/>
            <w:vAlign w:val="bottom"/>
          </w:tcPr>
          <w:p>
            <w:pPr>
              <w:pStyle w:val="TableContents"/>
              <w:bidi w:val="0"/>
              <w:spacing w:before="0" w:after="283"/>
              <w:jc w:val="right"/>
              <w:rPr/>
            </w:pPr>
            <w:r>
              <w:rPr/>
              <w:t>450</w:t>
            </w:r>
          </w:p>
        </w:tc>
        <w:tc>
          <w:tcPr>
            <w:tcW w:w="157" w:type="dxa"/>
            <w:tcBorders/>
            <w:shd w:fill="CCEEFF" w:val="clear"/>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pPr>
            <w:r>
              <w:rPr/>
              <w:t>  </w:t>
            </w:r>
          </w:p>
        </w:tc>
        <w:tc>
          <w:tcPr>
            <w:tcW w:w="374" w:type="dxa"/>
            <w:tcBorders/>
            <w:vAlign w:val="bottom"/>
          </w:tcPr>
          <w:p>
            <w:pPr>
              <w:pStyle w:val="TableContents"/>
              <w:pBdr>
                <w:top w:val="single" w:sz="2" w:space="1" w:color="000000"/>
              </w:pBdr>
              <w:bidi w:val="0"/>
              <w:spacing w:before="0" w:after="0"/>
              <w:jc w:val="left"/>
              <w:rPr/>
            </w:pPr>
            <w:r>
              <w:rPr/>
              <w:t> </w:t>
            </w:r>
          </w:p>
        </w:tc>
        <w:tc>
          <w:tcPr>
            <w:tcW w:w="182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IPR&amp;D represents the research and development projects of Orphai which were in-process, but not yet completed, and which Quince plans to advance. Current accounting standards (ASC 730) require that the fair value of IPR&amp;D projects acquired in an asset acquisition with no alternative future use be allocated a portion of the consideration transferred and charged to expenses at the acquisition date. The final valuation of the IPR&amp;D consideration could differ significantly from the current estimate.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on acquisition represents the difference between the acquisition date fair value of the consideration transferred and the measurement of the assets acquired, and liabilities assumed applying ASC 805 Business Combinations.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allocation of consideration transferred above, which is as of the acquisition date of May 18, 2026 has been used to prepare the pro forma adjustments in the unaudited pro forma condensed combined consolidated balance sheet and unaudited pro forma condensed combined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assets acquired and liabilities assumed are based on preliminary estimates of fair values as of the acquisition date. Management believes the fair values recognized for the assets acquired and liabilities assumed are based on reasonable estimates and assumptions. Preliminary fair value estimates may change as additional information becomes available. There can be no assurance that the final determination will not result in material changes from these preliminary amounts.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are based on the Company’s preliminary estimates and assumptions that are subject to change. The following adjustments have been reflected in the unaudited pro forma condensed combined consolidated financial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Unaudited Pro Forma Condensed Combined Consolidated Balance Sheet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unaudited consolidated balance sheet for Orphai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Private Placement that was a closing condition of the merger and reflects (1) the gross proceeds raised of $115,000 thousand received from the Private Placement transaction, (2) the direct transaction costs incurred of $11,361 thousand; (3) the issuance of Financing Warrants recorded at the fair value of the Financing Warrant liability; (4) the issuance of 144,200.633 new Series C Preferred Stock, net of allocated transaction fees of $93,243 thousand; and (5) the allocated Financing Warrant issuance costs of $1,140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cash on hand that is payable upon consummation of the acquisition $4,298 thousand representing the Orphai’s expense paid by Quince, on behalf of Orphai to a third party and reflected in Orphai’s opening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adjustments related to acquisition-related cost incurred, reflected in increased Accrued expenses and other current liabilities of $2,139 thousand, which includes the accrual of acquisition-related costs of $6,437 and the payment of Orphai’s expenses of $4,298 described in (c).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adjustments of $10,447 thousand to Orphai’s convertible notes, which were not assumed by Quince as they were converted to Series C Preferred Stock and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to record the estimated fair value of the warrant liability of $3,070 thousand, offset by the adjustment to the historical Orphai warrant liability of $3,012 thousand, which were converted to Quince issued warrants as part of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adjustment to record the estimated fair value of the issuance of the 67,101.235 Series C Preferred Stock issued, with a par value of $0.001, of $48,146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adjustments to eliminate Orphai’s historical equity balances, adjustments related to the acquisition, and to record estimated consideration of equity consideration (in thousands).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7"/>
        <w:gridCol w:w="351"/>
        <w:gridCol w:w="148"/>
        <w:gridCol w:w="811"/>
        <w:gridCol w:w="162"/>
      </w:tblGrid>
      <w:tr>
        <w:trPr/>
        <w:tc>
          <w:tcPr>
            <w:tcW w:w="5467"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preferred stock</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(35,912</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preferred stock</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(35,912</w:t>
            </w:r>
          </w:p>
        </w:tc>
        <w:tc>
          <w:tcPr>
            <w:tcW w:w="162" w:type="dxa"/>
            <w:tcBorders/>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common stock</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(478</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issued as part of equity consideration of the acquisition</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w:t>
            </w:r>
          </w:p>
        </w:tc>
        <w:tc>
          <w:tcPr>
            <w:tcW w:w="162" w:type="dxa"/>
            <w:tcBorders/>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common stock</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(475</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Orphai historical paid-in capital in excess of par value</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(78,463</w:t>
            </w:r>
          </w:p>
        </w:tc>
        <w:tc>
          <w:tcPr>
            <w:tcW w:w="162" w:type="dxa"/>
            <w:tcBorders/>
            <w:vAlign w:val="bottom"/>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 reflect the fair value of the common stock issued in excess of par value</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3,239</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assumed share-based awards as part of acquisition</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4,161</w:t>
            </w:r>
          </w:p>
        </w:tc>
        <w:tc>
          <w:tcPr>
            <w:tcW w:w="162" w:type="dxa"/>
            <w:tcBorders/>
            <w:vAlign w:val="bottom"/>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acquired assets and assumed liabilities</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(818</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paid-in capital in excess of par value</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(71,881</w:t>
            </w:r>
          </w:p>
        </w:tc>
        <w:tc>
          <w:tcPr>
            <w:tcW w:w="162" w:type="dxa"/>
            <w:tcBorders/>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Orphai accumulated deficit</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129,961</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(6,437</w:t>
            </w:r>
          </w:p>
        </w:tc>
        <w:tc>
          <w:tcPr>
            <w:tcW w:w="162" w:type="dxa"/>
            <w:tcBorders/>
            <w:vAlign w:val="bottom"/>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In-process research and development</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(59,000</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tcPr>
          <w:p>
            <w:pPr>
              <w:pStyle w:val="TableContents"/>
              <w:bidi w:val="0"/>
              <w:spacing w:before="0" w:after="0"/>
              <w:jc w:val="left"/>
              <w:rPr>
                <w:rFonts w:ascii="Times New Roman" w:hAnsi="Times New Roman"/>
                <w:sz w:val="20"/>
              </w:rPr>
            </w:pPr>
            <w:r>
              <w:rPr>
                <w:rFonts w:ascii="Times New Roman" w:hAnsi="Times New Roman"/>
                <w:sz w:val="20"/>
              </w:rPr>
              <w:t>Loss on acquisition</w:t>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(450</w:t>
            </w:r>
          </w:p>
        </w:tc>
        <w:tc>
          <w:tcPr>
            <w:tcW w:w="162" w:type="dxa"/>
            <w:tcBorders/>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accumulated deficit</w:t>
            </w:r>
          </w:p>
        </w:tc>
        <w:tc>
          <w:tcPr>
            <w:tcW w:w="35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64,074</w:t>
            </w:r>
          </w:p>
        </w:tc>
        <w:tc>
          <w:tcPr>
            <w:tcW w:w="162" w:type="dxa"/>
            <w:tcBorders/>
            <w:shd w:fill="CCEEFF" w:val="clear"/>
            <w:vAlign w:val="bottom"/>
          </w:tcPr>
          <w:p>
            <w:pPr>
              <w:pStyle w:val="TableContents"/>
              <w:bidi w:val="0"/>
              <w:spacing w:before="0" w:after="283"/>
              <w:jc w:val="left"/>
              <w:rPr/>
            </w:pPr>
            <w:r>
              <w:rPr/>
              <w:t> </w:t>
            </w:r>
          </w:p>
        </w:tc>
      </w:tr>
      <w:tr>
        <w:trPr/>
        <w:tc>
          <w:tcPr>
            <w:tcW w:w="546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Unaudited Pro Forma Condensed Combined Consolidated Statement of Operations and Comprehensive Loss for the Three Months Ended March 31, 2026 and the Year Ended December 31, 205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audited consolidated statement of operations and comprehensive loss for Orphai for the year ended December 31, 2025 and the unaudited consolidated statement of operations and comprehensive loss for Orphai for the three months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Private Placement and the transaction costs allocated to the issuance of Financing Warrants of $1,140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expense of the fair value of IPR&amp;D project acquired in an asset acquisition with no alternative future use of $59,000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acquisition-related costs incurred by Quince subsequent to March 31, 2026 and are reflected in (1) accumulated deficit and accrued expenses in the unaudited pro forma condensed combined consolidated balance sheet and (2) general and administrative expenses in the unaudited pro forma condensed combined consolidated statements of operations and comprehensive income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adjustments due to loss on acquisition as a result of the difference between the consideration transferred and the fair value of the assets acquired and liabilities assumed.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$5,154 thousand for the year ended December 31, 2025, for the change in fair value of Orphai notes ($1,413 thousand), change in fair value of Orphai warrants ($2,239 thousand), and loss of exchange of convertible notes ($1,502 thousand), as they were converted to Quince’s warrants and Series C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Reflects the adjustment of $549 thousand for the three months ended March 31, 2026, for the change in fair value of Orphai notes ($946 thousand), offset by the change in fair value of Orphai warrants for Orphai ($397 thousand), as they were converted to Quince’s warrants and Series C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the weighted average shares outstanding for the Acquisition and Private Placement.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74"/>
        <w:gridCol w:w="133"/>
        <w:gridCol w:w="92"/>
        <w:gridCol w:w="1698"/>
        <w:gridCol w:w="92"/>
        <w:gridCol w:w="191"/>
        <w:gridCol w:w="92"/>
        <w:gridCol w:w="1701"/>
        <w:gridCol w:w="60"/>
        <w:gridCol w:w="133"/>
        <w:gridCol w:w="78"/>
        <w:gridCol w:w="1435"/>
        <w:gridCol w:w="78"/>
        <w:gridCol w:w="165"/>
        <w:gridCol w:w="78"/>
        <w:gridCol w:w="1438"/>
        <w:gridCol w:w="67"/>
      </w:tblGrid>
      <w:tr>
        <w:trPr/>
        <w:tc>
          <w:tcPr>
            <w:tcW w:w="26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7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2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2025</w:t>
            </w:r>
          </w:p>
        </w:tc>
        <w:tc>
          <w:tcPr>
            <w:tcW w:w="67" w:type="dxa"/>
            <w:tcBorders/>
            <w:vAlign w:val="bottom"/>
          </w:tcPr>
          <w:p>
            <w:pPr>
              <w:pStyle w:val="TableContents"/>
              <w:bidi w:val="0"/>
              <w:spacing w:before="0" w:after="283"/>
              <w:jc w:val="left"/>
              <w:rPr/>
            </w:pPr>
            <w:r>
              <w:rPr/>
              <w:t> </w:t>
            </w:r>
          </w:p>
        </w:tc>
      </w:tr>
      <w:tr>
        <w:trPr/>
        <w:tc>
          <w:tcPr>
            <w:tcW w:w="267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Basic</w:t>
            </w:r>
          </w:p>
        </w:tc>
        <w:tc>
          <w:tcPr>
            <w:tcW w:w="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Diluted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Basic</w:t>
            </w:r>
          </w:p>
        </w:tc>
        <w:tc>
          <w:tcPr>
            <w:tcW w:w="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Diluted</w:t>
            </w:r>
          </w:p>
        </w:tc>
        <w:tc>
          <w:tcPr>
            <w:tcW w:w="67" w:type="dxa"/>
            <w:tcBorders/>
            <w:vAlign w:val="bottom"/>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Quince weighted average shares outstanding</w:t>
            </w:r>
          </w:p>
        </w:tc>
        <w:tc>
          <w:tcPr>
            <w:tcW w:w="13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456,014</w:t>
            </w:r>
          </w:p>
        </w:tc>
        <w:tc>
          <w:tcPr>
            <w:tcW w:w="9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456,014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250,484</w:t>
            </w:r>
          </w:p>
        </w:tc>
        <w:tc>
          <w:tcPr>
            <w:tcW w:w="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250,484</w:t>
            </w:r>
          </w:p>
        </w:tc>
        <w:tc>
          <w:tcPr>
            <w:tcW w:w="67" w:type="dxa"/>
            <w:tcBorders/>
            <w:shd w:fill="CCEEFF" w:val="clear"/>
            <w:vAlign w:val="bottom"/>
          </w:tcPr>
          <w:p>
            <w:pPr>
              <w:pStyle w:val="TableContents"/>
              <w:bidi w:val="0"/>
              <w:spacing w:before="0" w:after="283"/>
              <w:jc w:val="left"/>
              <w:rPr/>
            </w:pPr>
            <w:r>
              <w:rPr/>
              <w:t> </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Quince common stock issued in Acquisition</w:t>
            </w:r>
          </w:p>
        </w:tc>
        <w:tc>
          <w:tcPr>
            <w:tcW w:w="13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162,971</w:t>
            </w:r>
          </w:p>
        </w:tc>
        <w:tc>
          <w:tcPr>
            <w:tcW w:w="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162,971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162,971</w:t>
            </w:r>
          </w:p>
        </w:tc>
        <w:tc>
          <w:tcPr>
            <w:tcW w:w="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162,971</w:t>
            </w:r>
          </w:p>
        </w:tc>
        <w:tc>
          <w:tcPr>
            <w:tcW w:w="67" w:type="dxa"/>
            <w:tcBorders/>
            <w:vAlign w:val="bottom"/>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Quince preferred stock issued in Acquisition (i) (ii)</w:t>
            </w:r>
          </w:p>
        </w:tc>
        <w:tc>
          <w:tcPr>
            <w:tcW w:w="13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3,489,281</w:t>
            </w:r>
          </w:p>
        </w:tc>
        <w:tc>
          <w:tcPr>
            <w:tcW w:w="9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3,489,281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3,489,281</w:t>
            </w:r>
          </w:p>
        </w:tc>
        <w:tc>
          <w:tcPr>
            <w:tcW w:w="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3,489,281</w:t>
            </w:r>
          </w:p>
        </w:tc>
        <w:tc>
          <w:tcPr>
            <w:tcW w:w="67" w:type="dxa"/>
            <w:tcBorders/>
            <w:shd w:fill="CCEEFF" w:val="clear"/>
            <w:vAlign w:val="bottom"/>
          </w:tcPr>
          <w:p>
            <w:pPr>
              <w:pStyle w:val="TableContents"/>
              <w:bidi w:val="0"/>
              <w:spacing w:before="0" w:after="283"/>
              <w:jc w:val="left"/>
              <w:rPr/>
            </w:pPr>
            <w:r>
              <w:rPr/>
              <w:t> </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Quince preferred stock issued in Private Placement (i) (ii)</w:t>
            </w:r>
          </w:p>
        </w:tc>
        <w:tc>
          <w:tcPr>
            <w:tcW w:w="13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7,498,447</w:t>
            </w:r>
          </w:p>
        </w:tc>
        <w:tc>
          <w:tcPr>
            <w:tcW w:w="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7,498,447</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7,498,447</w:t>
            </w:r>
          </w:p>
        </w:tc>
        <w:tc>
          <w:tcPr>
            <w:tcW w:w="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7,498,447</w:t>
            </w:r>
          </w:p>
        </w:tc>
        <w:tc>
          <w:tcPr>
            <w:tcW w:w="67" w:type="dxa"/>
            <w:tcBorders/>
            <w:vAlign w:val="bottom"/>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 from Quince</w:t>
            </w:r>
          </w:p>
        </w:tc>
        <w:tc>
          <w:tcPr>
            <w:tcW w:w="13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3,140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options from Quince</w:t>
            </w:r>
          </w:p>
        </w:tc>
        <w:tc>
          <w:tcPr>
            <w:tcW w:w="13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698"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67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69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combined shares outstanding</w:t>
            </w:r>
          </w:p>
        </w:tc>
        <w:tc>
          <w:tcPr>
            <w:tcW w:w="13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698" w:type="dxa"/>
            <w:tcBorders/>
            <w:shd w:fill="CCEEFF" w:val="clear"/>
            <w:vAlign w:val="bottom"/>
          </w:tcPr>
          <w:p>
            <w:pPr>
              <w:pStyle w:val="TableContents"/>
              <w:bidi w:val="0"/>
              <w:spacing w:before="0" w:after="283"/>
              <w:jc w:val="right"/>
              <w:rPr/>
            </w:pPr>
            <w:r>
              <w:rPr/>
              <w:t>11,606,713</w:t>
            </w:r>
          </w:p>
        </w:tc>
        <w:tc>
          <w:tcPr>
            <w:tcW w:w="9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11,610,219</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11,401,183</w:t>
            </w:r>
          </w:p>
        </w:tc>
        <w:tc>
          <w:tcPr>
            <w:tcW w:w="7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11,401,183</w:t>
            </w:r>
          </w:p>
        </w:tc>
        <w:tc>
          <w:tcPr>
            <w:tcW w:w="67" w:type="dxa"/>
            <w:tcBorders/>
            <w:shd w:fill="CCEEFF" w:val="clear"/>
            <w:vAlign w:val="bottom"/>
          </w:tcPr>
          <w:p>
            <w:pPr>
              <w:pStyle w:val="TableContents"/>
              <w:bidi w:val="0"/>
              <w:spacing w:before="0" w:after="283"/>
              <w:jc w:val="left"/>
              <w:rPr/>
            </w:pPr>
            <w:r>
              <w:rPr/>
              <w:t> </w:t>
            </w:r>
          </w:p>
        </w:tc>
      </w:tr>
      <w:tr>
        <w:trPr/>
        <w:tc>
          <w:tcPr>
            <w:tcW w:w="267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69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on an as-converted basis to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Series C Preferred Stock is contractually structured to participate in the economic risks and rewards of common stock on an identical, one-for-one basis and possesses mandatory conversion features. Consequently, these shares are treated as common stock equivalents for financial reporting purposes. The weighted-average number of these preferred shares has been included in the denominator of the basic and diluted earnings per share calculation and no preferred dividend deduction is made from net income in the numerator.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net income (loss) per share of common stock is determined by dividing net income (loss), after considering income (loss) attributable to participating securities, by the weighted average number of common shares outstanding, including the Company’s Series C Preferred Stock, during the period. The Series C Preferred Stock is contractually structured to participate in the economic risks and rewards of common stock on an identical, one-for-one basis and possesses mandatory conversion features.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Diluted net income (loss) per share of common stock includes the effect of Quince’s warrants and share-based awards if the inclusion of these items is dilutive.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73"/>
        <w:gridCol w:w="305"/>
        <w:gridCol w:w="140"/>
        <w:gridCol w:w="1107"/>
        <w:gridCol w:w="155"/>
        <w:gridCol w:w="260"/>
        <w:gridCol w:w="152"/>
        <w:gridCol w:w="1255"/>
        <w:gridCol w:w="158"/>
      </w:tblGrid>
      <w:tr>
        <w:trPr/>
        <w:tc>
          <w:tcPr>
            <w:tcW w:w="667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7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67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33,512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(157,144</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7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 basic</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33,387</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(157,144</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33,512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(157,144</w:t>
            </w:r>
          </w:p>
        </w:tc>
        <w:tc>
          <w:tcPr>
            <w:tcW w:w="158" w:type="dxa"/>
            <w:tcBorders/>
            <w:shd w:fill="CCEEFF" w:val="clear"/>
            <w:vAlign w:val="bottom"/>
          </w:tcPr>
          <w:p>
            <w:pPr>
              <w:pStyle w:val="TableContents"/>
              <w:bidi w:val="0"/>
              <w:spacing w:before="0" w:after="283"/>
              <w:jc w:val="left"/>
              <w:rPr/>
            </w:pPr>
            <w:r>
              <w:rPr/>
              <w:t>) </w:t>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for pre-funded warrants</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(6,358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Undistributed earnings allocated to participating securities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7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 diluted</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27,053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(157,144</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11,606,713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11,401,183</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dilutive shares</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warrants from Quince</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3,140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options from Quince</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11,610,219</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11,401,183</w:t>
            </w:r>
          </w:p>
        </w:tc>
        <w:tc>
          <w:tcPr>
            <w:tcW w:w="158" w:type="dxa"/>
            <w:tcBorders/>
            <w:vAlign w:val="bottom"/>
          </w:tcPr>
          <w:p>
            <w:pPr>
              <w:pStyle w:val="TableContents"/>
              <w:bidi w:val="0"/>
              <w:spacing w:before="0" w:after="283"/>
              <w:jc w:val="left"/>
              <w:rPr/>
            </w:pPr>
            <w:r>
              <w:rPr/>
              <w:t> </w:t>
            </w:r>
          </w:p>
        </w:tc>
      </w:tr>
      <w:tr>
        <w:trPr/>
        <w:tc>
          <w:tcPr>
            <w:tcW w:w="6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3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(13.78</w:t>
            </w:r>
          </w:p>
        </w:tc>
        <w:tc>
          <w:tcPr>
            <w:tcW w:w="158" w:type="dxa"/>
            <w:tcBorders/>
            <w:shd w:fill="CCEEFF" w:val="clear"/>
            <w:vAlign w:val="bottom"/>
          </w:tcPr>
          <w:p>
            <w:pPr>
              <w:pStyle w:val="TableContents"/>
              <w:bidi w:val="0"/>
              <w:spacing w:before="0" w:after="283"/>
              <w:jc w:val="left"/>
              <w:rPr/>
            </w:pPr>
            <w:r>
              <w:rPr/>
              <w:t>) </w:t>
            </w:r>
          </w:p>
        </w:tc>
      </w:tr>
      <w:tr>
        <w:trPr/>
        <w:tc>
          <w:tcPr>
            <w:tcW w:w="66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w:t>
            </w:r>
          </w:p>
        </w:tc>
        <w:tc>
          <w:tcPr>
            <w:tcW w:w="3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(13.78</w:t>
            </w:r>
          </w:p>
        </w:tc>
        <w:tc>
          <w:tcPr>
            <w:tcW w:w="158"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62774/000119312526228133/d109149dex21.htm" TargetMode="External"/><Relationship Id="rId3" Type="http://schemas.openxmlformats.org/officeDocument/2006/relationships/hyperlink" Target="http://www.sec.gov/Archives/edgar/data/1662774/000119312526228133/d109149dex31.htm" TargetMode="External"/><Relationship Id="rId4" Type="http://schemas.openxmlformats.org/officeDocument/2006/relationships/hyperlink" Target="http://www.sec.gov/Archives/edgar/data/1662774/000119312526228133/d109149dex41.htm" TargetMode="External"/><Relationship Id="rId5" Type="http://schemas.openxmlformats.org/officeDocument/2006/relationships/hyperlink" Target="http://www.sec.gov/Archives/edgar/data/1662774/000119312526228133/d109149dex101.htm" TargetMode="External"/><Relationship Id="rId6" Type="http://schemas.openxmlformats.org/officeDocument/2006/relationships/hyperlink" Target="http://www.sec.gov/Archives/edgar/data/1662774/000119312526228133/d109149dex102.htm" TargetMode="External"/><Relationship Id="rId7" Type="http://schemas.openxmlformats.org/officeDocument/2006/relationships/hyperlink" Target="http://www.sec.gov/Archives/edgar/data/1662774/000119312526228133/d109149dex103.htm" TargetMode="External"/><Relationship Id="rId8" Type="http://schemas.openxmlformats.org/officeDocument/2006/relationships/hyperlink" Target="http://www.sec.gov/Archives/edgar/data/1662774/000119312526228133/d109149dex104.htm" TargetMode="External"/><Relationship Id="rId9" Type="http://schemas.openxmlformats.org/officeDocument/2006/relationships/hyperlink" Target="http://www.sec.gov/Archives/edgar/data/1662774/000119312526228133/d109149dex105.htm" TargetMode="External"/><Relationship Id="rId10" Type="http://schemas.openxmlformats.org/officeDocument/2006/relationships/hyperlink" Target="http://www.sec.gov/Archives/edgar/data/1662774/000119312526228133/d109149dex106.htm" TargetMode="External"/><Relationship Id="rId11" Type="http://schemas.openxmlformats.org/officeDocument/2006/relationships/hyperlink" Target="http://www.sec.gov/Archives/edgar/data/1662774/000119312526228133/d109149dex991.htm" TargetMode="External"/><Relationship Id="rId12" Type="http://schemas.openxmlformats.org/officeDocument/2006/relationships/hyperlink" Target="http://www.sec.gov/Archives/edgar/data/1662774/000119312526228956/d135388dex992.htm" TargetMode="External"/><Relationship Id="rId13" Type="http://schemas.openxmlformats.org/officeDocument/2006/relationships/hyperlink" Target="http://www.sec.gov/Archives/edgar/data/1662774/000119312526228133/d109149dex993.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162</Pages>
  <Words>92420</Words>
  <Characters>524422</Characters>
  <CharactersWithSpaces>623245</CharactersWithSpaces>
  <Paragraphs>11394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EX-99.8</dc:title>
</cp:coreProperties>
</file>