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qncx-20260331.htm"/>
        <w:bookmarkStart w:id="1" w:name="ksqncx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spacing w:before="60" w:after="283"/>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017" w:type="dxa"/>
        <w:jc w:val="left"/>
        <w:tblInd w:w="0" w:type="dxa"/>
        <w:tblLayout w:type="fixed"/>
        <w:tblCellMar>
          <w:top w:w="28" w:type="dxa"/>
          <w:left w:w="28" w:type="dxa"/>
          <w:bottom w:w="28" w:type="dxa"/>
          <w:right w:w="28" w:type="dxa"/>
        </w:tblCellMar>
      </w:tblPr>
      <w:tblGrid>
        <w:gridCol w:w="331"/>
        <w:gridCol w:w="8686"/>
      </w:tblGrid>
      <w:tr>
        <w:trPr/>
        <w:tc>
          <w:tcPr>
            <w:tcW w:w="331" w:type="dxa"/>
            <w:tcBorders/>
            <w:vAlign w:val="center"/>
          </w:tcPr>
          <w:p>
            <w:pPr>
              <w:pStyle w:val="TableContents"/>
              <w:bidi w:val="0"/>
              <w:spacing w:before="0" w:after="283"/>
              <w:jc w:val="left"/>
              <w:rPr>
                <w:sz w:val="4"/>
                <w:szCs w:val="4"/>
              </w:rPr>
            </w:pPr>
            <w:r>
              <w:rPr>
                <w:sz w:val="4"/>
                <w:szCs w:val="4"/>
              </w:rPr>
            </w:r>
          </w:p>
        </w:tc>
        <w:tc>
          <w:tcPr>
            <w:tcW w:w="86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QUARTERLY REPORT PURSUANT TO SECTION 13 OR 15(d) OF THE SECURITIES EXCHANGE ACT OF 1934</w:t>
            </w:r>
          </w:p>
        </w:tc>
      </w:tr>
    </w:tbl>
    <w:p>
      <w:pPr>
        <w:pStyle w:val="TextBody"/>
        <w:bidi w:val="0"/>
        <w:jc w:val="center"/>
        <w:rPr>
          <w:rFonts w:ascii="Times New Roman" w:hAnsi="Times New Roman"/>
          <w:b/>
          <w:color w:val="000000"/>
          <w:sz w:val="16"/>
        </w:rPr>
      </w:pPr>
      <w:r>
        <w:rPr>
          <w:rFonts w:ascii="Times New Roman" w:hAnsi="Times New Roman"/>
          <w:b/>
          <w:color w:val="000000"/>
          <w:sz w:val="16"/>
        </w:rPr>
        <w:t>For the quarterly period ended March 31, 2026</w:t>
      </w:r>
    </w:p>
    <w:p>
      <w:pPr>
        <w:pStyle w:val="TextBody"/>
        <w:bidi w:val="0"/>
        <w:jc w:val="center"/>
        <w:rPr>
          <w:rFonts w:ascii="Times New Roman" w:hAnsi="Times New Roman"/>
          <w:b/>
          <w:color w:val="000000"/>
          <w:sz w:val="16"/>
        </w:rPr>
      </w:pPr>
      <w:r>
        <w:rPr>
          <w:rFonts w:ascii="Times New Roman" w:hAnsi="Times New Roman"/>
          <w:b/>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center"/>
        <w:rPr>
          <w:rFonts w:ascii="Times New Roman" w:hAnsi="Times New Roman"/>
          <w:b/>
          <w:color w:val="000000"/>
          <w:sz w:val="16"/>
        </w:rPr>
      </w:pPr>
      <w:r>
        <w:rPr>
          <w:rFonts w:ascii="Times New Roman" w:hAnsi="Times New Roman"/>
          <w:b/>
          <w:color w:val="000000"/>
          <w:sz w:val="16"/>
        </w:rPr>
        <w:t>For the transition period from _______________ to _______________</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Commission File Number: 001-38890</w:t>
      </w:r>
    </w:p>
    <w:p>
      <w:pPr>
        <w:pStyle w:val="TextBody"/>
        <w:bidi w:val="0"/>
        <w:jc w:val="center"/>
        <w:rPr/>
      </w:pPr>
      <w:r>
        <w:rPr/>
        <w:t> </w:t>
      </w:r>
    </w:p>
    <w:p>
      <w:pPr>
        <w:pStyle w:val="TextBody"/>
        <w:pBdr>
          <w:top w:val="single" w:sz="6" w:space="1" w:color="000000"/>
        </w:pBdr>
        <w:bidi w:val="0"/>
        <w:jc w:val="center"/>
        <w:rPr/>
      </w:pPr>
      <w:r>
        <w:rPr/>
        <w:t> </w:t>
      </w:r>
    </w:p>
    <w:p>
      <w:pPr>
        <w:pStyle w:val="TextBody"/>
        <w:bidi w:val="0"/>
        <w:spacing w:before="60" w:after="283"/>
        <w:jc w:val="center"/>
        <w:rPr>
          <w:rFonts w:ascii="Times New Roman" w:hAnsi="Times New Roman"/>
          <w:b/>
          <w:color w:val="000000"/>
          <w:sz w:val="40"/>
        </w:rPr>
      </w:pPr>
      <w:r>
        <w:rPr>
          <w:rFonts w:ascii="Times New Roman" w:hAnsi="Times New Roman"/>
          <w:b/>
          <w:color w:val="000000"/>
          <w:sz w:val="40"/>
        </w:rPr>
        <w:t>Quince Therapeutics,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pPr>
      <w:r>
        <w:rPr/>
        <w:t> </w:t>
      </w:r>
    </w:p>
    <w:tbl>
      <w:tblPr>
        <w:tblW w:w="5115" w:type="dxa"/>
        <w:jc w:val="left"/>
        <w:tblInd w:w="0" w:type="dxa"/>
        <w:tblLayout w:type="fixed"/>
        <w:tblCellMar>
          <w:top w:w="28" w:type="dxa"/>
          <w:left w:w="28" w:type="dxa"/>
          <w:bottom w:w="28" w:type="dxa"/>
          <w:right w:w="28" w:type="dxa"/>
        </w:tblCellMar>
      </w:tblPr>
      <w:tblGrid>
        <w:gridCol w:w="3404"/>
        <w:gridCol w:w="1711"/>
      </w:tblGrid>
      <w:tr>
        <w:trPr/>
        <w:tc>
          <w:tcPr>
            <w:tcW w:w="34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404"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Delaware</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90-1024039</w:t>
            </w:r>
          </w:p>
        </w:tc>
      </w:tr>
      <w:tr>
        <w:trPr/>
        <w:tc>
          <w:tcPr>
            <w:tcW w:w="3404"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incorporation or organization)</w:t>
            </w:r>
          </w:p>
        </w:tc>
        <w:tc>
          <w:tcPr>
            <w:tcW w:w="171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0"/>
              <w:jc w:val="center"/>
              <w:rPr>
                <w:rFonts w:ascii="Times New Roman" w:hAnsi="Times New Roman"/>
                <w:color w:val="000000"/>
                <w:sz w:val="16"/>
              </w:rPr>
            </w:pPr>
            <w:r>
              <w:rPr>
                <w:rFonts w:ascii="Times New Roman" w:hAnsi="Times New Roman"/>
                <w:color w:val="000000"/>
                <w:sz w:val="16"/>
              </w:rPr>
              <w:t>Identification No.)</w:t>
            </w:r>
          </w:p>
        </w:tc>
      </w:tr>
      <w:tr>
        <w:trPr/>
        <w:tc>
          <w:tcPr>
            <w:tcW w:w="3404" w:type="dxa"/>
            <w:tcBorders/>
            <w:tcMar>
              <w:top w:w="0" w:type="dxa"/>
              <w:left w:w="0" w:type="dxa"/>
              <w:bottom w:w="0" w:type="dxa"/>
              <w:right w:w="0" w:type="dxa"/>
            </w:tcMar>
            <w:vAlign w:val="center"/>
          </w:tcPr>
          <w:p>
            <w:pPr>
              <w:pStyle w:val="TableContents"/>
              <w:bidi w:val="0"/>
              <w:spacing w:before="65" w:after="15"/>
              <w:jc w:val="center"/>
              <w:rPr>
                <w:rFonts w:ascii="Times New Roman" w:hAnsi="Times New Roman"/>
                <w:b/>
                <w:color w:val="000000"/>
                <w:sz w:val="16"/>
              </w:rPr>
            </w:pPr>
            <w:r>
              <w:rPr>
                <w:rFonts w:ascii="Times New Roman" w:hAnsi="Times New Roman"/>
                <w:b/>
                <w:color w:val="000000"/>
                <w:sz w:val="16"/>
              </w:rPr>
              <w:t>611 Gateway Boulevard, Suite 273</w:t>
            </w:r>
          </w:p>
          <w:p>
            <w:pPr>
              <w:pStyle w:val="TableContents"/>
              <w:bidi w:val="0"/>
              <w:spacing w:before="0" w:after="20"/>
              <w:jc w:val="center"/>
              <w:rPr>
                <w:rFonts w:ascii="Times New Roman" w:hAnsi="Times New Roman"/>
                <w:sz w:val="20"/>
              </w:rPr>
            </w:pPr>
            <w:r>
              <w:rPr>
                <w:rFonts w:ascii="Times New Roman" w:hAnsi="Times New Roman"/>
                <w:b/>
                <w:color w:val="000000"/>
                <w:sz w:val="16"/>
              </w:rPr>
              <w:t>South San Francisco,</w:t>
            </w:r>
            <w:r>
              <w:rPr>
                <w:rFonts w:ascii="Times New Roman" w:hAnsi="Times New Roman"/>
                <w:color w:val="000000"/>
                <w:sz w:val="20"/>
              </w:rPr>
              <w:t xml:space="preserve"> </w:t>
            </w:r>
            <w:r>
              <w:rPr>
                <w:rFonts w:ascii="Times New Roman" w:hAnsi="Times New Roman"/>
                <w:b/>
                <w:color w:val="000000"/>
                <w:sz w:val="16"/>
              </w:rPr>
              <w:t>California</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94080</w:t>
            </w:r>
          </w:p>
        </w:tc>
      </w:tr>
      <w:tr>
        <w:trPr/>
        <w:tc>
          <w:tcPr>
            <w:tcW w:w="3404"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16"/>
              </w:rPr>
            </w:pPr>
            <w:r>
              <w:rPr>
                <w:rFonts w:ascii="Times New Roman" w:hAnsi="Times New Roman"/>
                <w:color w:val="000000"/>
                <w:sz w:val="16"/>
              </w:rPr>
              <w:t>(Address of principal executive offices)</w:t>
            </w:r>
          </w:p>
        </w:tc>
        <w:tc>
          <w:tcPr>
            <w:tcW w:w="171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16"/>
              </w:rPr>
            </w:pPr>
            <w:r>
              <w:rPr>
                <w:rFonts w:ascii="Times New Roman" w:hAnsi="Times New Roman"/>
                <w:color w:val="000000"/>
                <w:sz w:val="16"/>
              </w:rPr>
              <w:t>(Zip Code)</w:t>
            </w:r>
          </w:p>
        </w:tc>
      </w:tr>
      <w:tr>
        <w:trPr/>
        <w:tc>
          <w:tcPr>
            <w:tcW w:w="5115" w:type="dxa"/>
            <w:gridSpan w:val="2"/>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Registrant’s telephone number, including area code: (415) 910-5717</w:t>
            </w:r>
          </w:p>
        </w:tc>
      </w:tr>
    </w:tbl>
    <w:p>
      <w:pPr>
        <w:pStyle w:val="TextBody"/>
        <w:bidi w:val="0"/>
        <w:jc w:val="center"/>
        <w:rPr/>
      </w:pPr>
      <w:r>
        <w:rPr/>
        <w:t> </w:t>
      </w:r>
    </w:p>
    <w:p>
      <w:pPr>
        <w:pStyle w:val="TextBody"/>
        <w:pBdr>
          <w:top w:val="single" w:sz="6" w:space="1" w:color="000000"/>
        </w:pBdr>
        <w:bidi w:val="0"/>
        <w:jc w:val="center"/>
        <w:rPr/>
      </w:pPr>
      <w:r>
        <w:rPr/>
        <w:t> </w:t>
      </w:r>
    </w:p>
    <w:p>
      <w:pPr>
        <w:pStyle w:val="TextBody"/>
        <w:bidi w:val="0"/>
        <w:jc w:val="left"/>
        <w:rPr/>
      </w:pPr>
      <w:r>
        <w:rPr/>
        <w:t> </w:t>
      </w:r>
    </w:p>
    <w:p>
      <w:pPr>
        <w:pStyle w:val="TextBody"/>
        <w:bidi w:val="0"/>
        <w:spacing w:before="40" w:after="12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141" w:type="dxa"/>
        <w:jc w:val="left"/>
        <w:tblInd w:w="0" w:type="dxa"/>
        <w:tblLayout w:type="fixed"/>
        <w:tblCellMar>
          <w:top w:w="28" w:type="dxa"/>
          <w:left w:w="28" w:type="dxa"/>
          <w:bottom w:w="28" w:type="dxa"/>
          <w:right w:w="28" w:type="dxa"/>
        </w:tblCellMar>
      </w:tblPr>
      <w:tblGrid>
        <w:gridCol w:w="3151"/>
        <w:gridCol w:w="109"/>
        <w:gridCol w:w="1456"/>
        <w:gridCol w:w="109"/>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Common Stock, par value $0.001 per share</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QNCX</w:t>
            </w:r>
          </w:p>
        </w:tc>
        <w:tc>
          <w:tcPr>
            <w:tcW w:w="109"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45" w:after="20"/>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No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75" w:type="dxa"/>
        <w:jc w:val="left"/>
        <w:tblInd w:w="0" w:type="dxa"/>
        <w:tblLayout w:type="fixed"/>
        <w:tblCellMar>
          <w:top w:w="28" w:type="dxa"/>
          <w:left w:w="28" w:type="dxa"/>
          <w:bottom w:w="28" w:type="dxa"/>
          <w:right w:w="28" w:type="dxa"/>
        </w:tblCellMar>
      </w:tblPr>
      <w:tblGrid>
        <w:gridCol w:w="161"/>
        <w:gridCol w:w="2026"/>
        <w:gridCol w:w="316"/>
        <w:gridCol w:w="2011"/>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60" w:after="60"/>
        <w:jc w:val="left"/>
        <w:rPr>
          <w:rFonts w:ascii="Times New Roman" w:hAnsi="Times New Roman"/>
          <w:sz w:val="20"/>
        </w:rPr>
      </w:pPr>
      <w:r>
        <w:rPr>
          <w:rFonts w:ascii="Times New Roman" w:hAnsi="Times New Roman"/>
          <w:color w:val="000000"/>
          <w:sz w:val="16"/>
        </w:rPr>
        <w:t>As of May 4, 2026, the registrant had 16,300,740</w:t>
      </w:r>
      <w:r>
        <w:rPr>
          <w:rFonts w:ascii="Times New Roman" w:hAnsi="Times New Roman"/>
          <w:color w:val="000000"/>
          <w:sz w:val="20"/>
        </w:rPr>
        <w:t xml:space="preserve"> </w:t>
      </w:r>
      <w:r>
        <w:rPr>
          <w:rFonts w:ascii="Times New Roman" w:hAnsi="Times New Roman"/>
          <w:color w:val="000000"/>
          <w:sz w:val="16"/>
        </w:rPr>
        <w:t>shares of common stock, $0.001 par value per share, outstanding.</w:t>
      </w:r>
    </w:p>
    <w:p>
      <w:pPr>
        <w:pStyle w:val="TextBody"/>
        <w:bidi w:val="0"/>
        <w:jc w:val="center"/>
        <w:rPr>
          <w:rFonts w:ascii="Times New Roman" w:hAnsi="Times New Roman"/>
          <w:b/>
          <w:color w:val="000000"/>
          <w:sz w:val="14"/>
        </w:rPr>
      </w:pPr>
      <w:r>
        <w:rPr>
          <w:rFonts w:ascii="Times New Roman" w:hAnsi="Times New Roman"/>
          <w:b/>
          <w:color w:val="000000"/>
          <w:sz w:val="14"/>
        </w:rPr>
        <w:t>EXPLANATORY NOTE</w:t>
      </w:r>
    </w:p>
    <w:p>
      <w:pPr>
        <w:pStyle w:val="TextBody"/>
        <w:bidi w:val="0"/>
        <w:jc w:val="both"/>
        <w:rPr>
          <w:rFonts w:ascii="Times New Roman" w:hAnsi="Times New Roman"/>
          <w:color w:val="000000"/>
          <w:sz w:val="14"/>
        </w:rPr>
      </w:pPr>
      <w:r>
        <w:rPr>
          <w:rFonts w:ascii="Times New Roman" w:hAnsi="Times New Roman"/>
          <w:color w:val="000000"/>
          <w:sz w:val="14"/>
        </w:rPr>
        <w:t>On April 10, 2026, the Company effected a reverse stock split of all shares of its issued and outstanding common stock at a ratio of 1-for-10. The Company accounted for the reverse stock split on a retrospective basis pursuant to Accounting Standards Codification (“ASC”) 260, Earnings Per Share. All issued and outstanding shares of common stock and share-based awards’ exercise prices and per share data in this report and the unaudited condensed consolidated financial statements have been adjusted, on a retrospective basis, to reflect the reverse stock split for all periods presented. The number of authorized shares and par value of the common stock were not adjusted because of the reverse stock split.</w:t>
      </w:r>
    </w:p>
    <w:p>
      <w:pPr>
        <w:pStyle w:val="TextBody"/>
        <w:bidi w:val="0"/>
        <w:spacing w:before="0" w:after="72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9558" w:type="dxa"/>
        <w:jc w:val="left"/>
        <w:tblInd w:w="0" w:type="dxa"/>
        <w:tblLayout w:type="fixed"/>
        <w:tblCellMar>
          <w:top w:w="28" w:type="dxa"/>
          <w:left w:w="28" w:type="dxa"/>
          <w:bottom w:w="28" w:type="dxa"/>
          <w:right w:w="28" w:type="dxa"/>
        </w:tblCellMar>
      </w:tblPr>
      <w:tblGrid>
        <w:gridCol w:w="886"/>
        <w:gridCol w:w="8101"/>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84"/>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60" w:after="283"/>
              <w:jc w:val="left"/>
              <w:rPr/>
            </w:pPr>
            <w:hyperlink w:anchor="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60" w:after="283"/>
              <w:ind w:left="0" w:right="0" w:firstLine="84"/>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balance_sheets">
              <w:r>
                <w:rPr>
                  <w:rStyle w:val="InternetLink"/>
                  <w:rFonts w:ascii="Times New Roman" w:hAnsi="Times New Roman"/>
                  <w:color w:val="0000FF"/>
                  <w:sz w:val="20"/>
                  <w:u w:val="single"/>
                </w:rPr>
                <w:t>Condensed Consolidated Balance Sheets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tatements_of_operations">
              <w:r>
                <w:rPr>
                  <w:rStyle w:val="InternetLink"/>
                  <w:rFonts w:ascii="Times New Roman" w:hAnsi="Times New Roman"/>
                  <w:color w:val="0000FF"/>
                  <w:sz w:val="20"/>
                  <w:u w:val="single"/>
                </w:rPr>
                <w:t>Condensed Consolidated Statements of Operations and Comprehensive Income (Loss)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FF"/>
                <w:sz w:val="20"/>
                <w:u w:val="single"/>
              </w:rPr>
            </w:pPr>
            <w:r>
              <w:rPr>
                <w:rFonts w:ascii="Times New Roman" w:hAnsi="Times New Roman"/>
                <w:color w:val="0000FF"/>
                <w:sz w:val="20"/>
                <w:u w:val="single"/>
              </w:rPr>
              <w:t>Condensed Consolidated Statements of Stockholders’ Equity (Deficit) (Unaudited)</w:t>
            </w:r>
          </w:p>
        </w:tc>
        <w:tc>
          <w:tcPr>
            <w:tcW w:w="571"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statements_of_cash_flows">
              <w:r>
                <w:rPr>
                  <w:rStyle w:val="InternetLink"/>
                  <w:rFonts w:ascii="Times New Roman" w:hAnsi="Times New Roman"/>
                  <w:color w:val="0000FF"/>
                  <w:sz w:val="20"/>
                  <w:u w:val="single"/>
                </w:rPr>
                <w:t>Condensed Consolidated Statements of Cash Flows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ind w:left="0" w:right="0" w:firstLine="84"/>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84"/>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notes_to_consolidated_financial_stmt">
              <w:r>
                <w:rPr>
                  <w:rStyle w:val="InternetLink"/>
                  <w:rFonts w:ascii="Times New Roman" w:hAnsi="Times New Roman"/>
                  <w:color w:val="0000FF"/>
                  <w:sz w:val="20"/>
                  <w:u w:val="single"/>
                </w:rPr>
                <w:t>Notes to Unaudited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27</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6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6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1A.</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36</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5.</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Item 6.</w:t>
            </w:r>
          </w:p>
        </w:tc>
        <w:tc>
          <w:tcPr>
            <w:tcW w:w="8101" w:type="dxa"/>
            <w:tcBorders/>
            <w:shd w:fill="FFFFFF" w:val="clear"/>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38</w:t>
            </w:r>
          </w:p>
        </w:tc>
      </w:tr>
      <w:tr>
        <w:trPr/>
        <w:tc>
          <w:tcPr>
            <w:tcW w:w="8987" w:type="dxa"/>
            <w:gridSpan w:val="2"/>
            <w:tcBorders/>
            <w:shd w:fill="FFFFFF" w:val="clear"/>
            <w:tcMar>
              <w:top w:w="0" w:type="dxa"/>
              <w:left w:w="0" w:type="dxa"/>
              <w:bottom w:w="0" w:type="dxa"/>
              <w:right w:w="0" w:type="dxa"/>
            </w:tcMar>
            <w:vAlign w:val="center"/>
          </w:tcPr>
          <w:p>
            <w:pPr>
              <w:pStyle w:val="TableContents"/>
              <w:bidi w:val="0"/>
              <w:spacing w:before="4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4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other than statements of historical facts contained in this report, including statements regarding our future results of operations and financial position, business strategy, drug candidates, planned preclinical studies and clinical trials, research and development costs, regulatory approvals, timing and likelihood of success, as well as plans and objectives of management for future operations, are forward-looking statements. In some cases, forward-looking statements may be identified by words such as "believe," "may," "will," "estimate," "continue," "anticipate," "intend," "could," "would," "expect," "objective," "plan," "potential," "seek," "grow," "target," "if," and similar expressions intended to identify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II, Item 1A of this Quarterly Report on Form 10-Q and in our other filings with the Securities and Exchange Commission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may differ materially and adversely from those anticipated or implied in the forward-looking statements. Forward-looking statements contained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execute on our current strategic direction, including our ability to pursue strategic alternatives, such as completing a reverse merger or selling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the sufficiency of our existing cash and cash equivalents to fund our future operating expenses and debt service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liquidity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related to the use of our available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obtain or protect intellectual property rights, including extensions of existing patent terms where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compliance with Nasdaq listing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caution you that the foregoing list may not contain all of the forward-looking statements made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Quarterly Report on Form 10-Q or to conform these statements to actual results or revised expectations.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with the understanding that our actual future results, levels of activity, performance and events and circumstances may be materially different from what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estimates, projections and other information concerning our industry, our business and the markets for our drug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DEFINED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the context requires otherwise, references to “Quince,” “the Company,” “we,” “us,” or “our” in this Quarterly Report on Form 10-Q refer to Quince Therapeutics, Inc. and its consolidated subsidiaries. We also have used several other terms in this Quarterly Report on Form 10-Q, most of which are explained or defined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1"/>
        <w:gridCol w:w="8704"/>
      </w:tblGrid>
      <w:tr>
        <w:trPr/>
        <w:tc>
          <w:tcPr>
            <w:tcW w:w="1501" w:type="dxa"/>
            <w:tcBorders/>
            <w:vAlign w:val="center"/>
          </w:tcPr>
          <w:p>
            <w:pPr>
              <w:pStyle w:val="TableContents"/>
              <w:bidi w:val="0"/>
              <w:spacing w:before="0" w:after="283"/>
              <w:jc w:val="left"/>
              <w:rPr>
                <w:sz w:val="4"/>
                <w:szCs w:val="4"/>
              </w:rPr>
            </w:pPr>
            <w:r>
              <w:rPr>
                <w:sz w:val="4"/>
                <w:szCs w:val="4"/>
              </w:rPr>
            </w:r>
          </w:p>
        </w:tc>
        <w:tc>
          <w:tcPr>
            <w:tcW w:w="8704" w:type="dxa"/>
            <w:tcBorders/>
            <w:vAlign w:val="center"/>
          </w:tcPr>
          <w:p>
            <w:pPr>
              <w:pStyle w:val="TableContents"/>
              <w:bidi w:val="0"/>
              <w:spacing w:before="0" w:after="283"/>
              <w:ind w:left="0" w:right="0" w:firstLine="63"/>
              <w:jc w:val="left"/>
              <w:rPr>
                <w:sz w:val="4"/>
                <w:szCs w:val="4"/>
              </w:rPr>
            </w:pPr>
            <w:r>
              <w:rPr>
                <w:sz w:val="4"/>
                <w:szCs w:val="4"/>
              </w:rPr>
            </w:r>
          </w:p>
        </w:tc>
      </w:tr>
      <w:tr>
        <w:trPr/>
        <w:tc>
          <w:tcPr>
            <w:tcW w:w="1501" w:type="dxa"/>
            <w:tcBorders>
              <w:bottom w:val="single" w:sz="8" w:space="0" w:color="000000"/>
            </w:tcBorders>
            <w:tcMar>
              <w:top w:w="0" w:type="dxa"/>
              <w:left w:w="0" w:type="dxa"/>
              <w:right w:w="0" w:type="dxa"/>
            </w:tcMar>
            <w:vAlign w:val="center"/>
          </w:tcPr>
          <w:p>
            <w:pPr>
              <w:pStyle w:val="TableContents"/>
              <w:bidi w:val="0"/>
              <w:spacing w:before="65" w:after="20"/>
              <w:ind w:left="0" w:right="0" w:firstLine="63"/>
              <w:jc w:val="left"/>
              <w:rPr>
                <w:rFonts w:ascii="Times New Roman" w:hAnsi="Times New Roman"/>
                <w:b/>
                <w:color w:val="000000"/>
                <w:sz w:val="20"/>
              </w:rPr>
            </w:pPr>
            <w:r>
              <w:rPr>
                <w:rFonts w:ascii="Times New Roman" w:hAnsi="Times New Roman"/>
                <w:b/>
                <w:color w:val="000000"/>
                <w:sz w:val="20"/>
              </w:rPr>
              <w:t>Abbreviated Term</w:t>
            </w:r>
          </w:p>
        </w:tc>
        <w:tc>
          <w:tcPr>
            <w:tcW w:w="8704" w:type="dxa"/>
            <w:tcBorders>
              <w:bottom w:val="single" w:sz="8" w:space="0" w:color="000000"/>
            </w:tcBorders>
            <w:tcMar>
              <w:top w:w="0" w:type="dxa"/>
              <w:left w:w="0" w:type="dxa"/>
              <w:right w:w="0" w:type="dxa"/>
            </w:tcMar>
            <w:vAlign w:val="center"/>
          </w:tcPr>
          <w:p>
            <w:pPr>
              <w:pStyle w:val="TableContents"/>
              <w:bidi w:val="0"/>
              <w:spacing w:before="65" w:after="20"/>
              <w:ind w:left="0" w:right="0" w:firstLine="63"/>
              <w:jc w:val="left"/>
              <w:rPr>
                <w:rFonts w:ascii="Times New Roman" w:hAnsi="Times New Roman"/>
                <w:b/>
                <w:color w:val="000000"/>
                <w:sz w:val="20"/>
              </w:rPr>
            </w:pPr>
            <w:r>
              <w:rPr>
                <w:rFonts w:ascii="Times New Roman" w:hAnsi="Times New Roman"/>
                <w:b/>
                <w:color w:val="000000"/>
                <w:sz w:val="20"/>
              </w:rPr>
              <w:t>Defined Term</w:t>
            </w:r>
          </w:p>
        </w:tc>
      </w:tr>
      <w:tr>
        <w:trPr/>
        <w:tc>
          <w:tcPr>
            <w:tcW w:w="1501" w:type="dxa"/>
            <w:tcBorders>
              <w:bottom w:val="single" w:sz="8" w:space="0" w:color="000000"/>
            </w:tcBorders>
            <w:tcMar>
              <w:top w:w="0" w:type="dxa"/>
              <w:left w:w="0" w:type="dxa"/>
              <w:right w:w="0" w:type="dxa"/>
            </w:tcMar>
            <w:vAlign w:val="center"/>
          </w:tcPr>
          <w:p>
            <w:pPr>
              <w:pStyle w:val="TableContents"/>
              <w:bidi w:val="0"/>
              <w:spacing w:before="45" w:after="20"/>
              <w:ind w:left="0" w:right="0" w:firstLine="63"/>
              <w:jc w:val="left"/>
              <w:rPr/>
            </w:pPr>
            <w:r>
              <w:rPr/>
              <w:t> </w:t>
            </w:r>
          </w:p>
        </w:tc>
        <w:tc>
          <w:tcPr>
            <w:tcW w:w="8704" w:type="dxa"/>
            <w:tcBorders>
              <w:bottom w:val="single" w:sz="8" w:space="0" w:color="000000"/>
            </w:tcBorders>
            <w:tcMar>
              <w:top w:w="0" w:type="dxa"/>
              <w:left w:w="0" w:type="dxa"/>
              <w:right w:w="0" w:type="dxa"/>
            </w:tcMar>
            <w:vAlign w:val="center"/>
          </w:tcPr>
          <w:p>
            <w:pPr>
              <w:pStyle w:val="TableContents"/>
              <w:bidi w:val="0"/>
              <w:spacing w:before="45" w:after="20"/>
              <w:ind w:left="0" w:right="0" w:firstLine="63"/>
              <w:jc w:val="left"/>
              <w:rPr/>
            </w:pPr>
            <w:r>
              <w:rPr/>
              <w:t> </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AIDE</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Autologous Intracellular Drug Encapsulation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ASC</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Accounting Standards Codification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ASU</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Accounting Standards Update</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A-T</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Ataxia-Telangiectasia</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the Code</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Internal Revenue Code of 1986, as amended</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CODM</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Chief Operating Decision Maker</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 xml:space="preserve">Debt Agreement </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Unsecured line of credit agreement between EryDel and the European Investment Bank, which the Company guaranteed on October 20, 2023 in connection with the EryDel Acquisition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DSP</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Dexamethasone Sodium Phosphate</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EC</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European Commission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EryDel</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Quince Therapeutics, S.p.A (previously named EryDel S.p.A.)</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eDSP</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Encapsulated dexamethasone sodium phosphate encapsulated in patient's own red blood cells (previously referred to as EryDex)</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eDSP System</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Automated combination product to encapsulate dexamethasone sodium phosphate in red blood cells</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EIB</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European Investment Bank</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EU</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European Union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EIB Loan</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Unsecured line of credit between EryDel and the European Investment Bank</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Exchange Act</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Securities Exchange Act of 1934, as amended</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FASB</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Financial Accounting Standards Board</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FDA</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United States Food and Drug Administration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GAAP</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generally accepted accounting principles in the United States</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ICARS</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International Cooperative Ataxia Rating Scale</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IPR&amp;D</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In-process Research and Development</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Lighthouse</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Lighthouse Pharmaceuticals, Inc.</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Nasdaq</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The Nasdaq Stock Market LLC</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NDA</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New Drug Application</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NEAT</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eDSP Phase 3 Clinical Trial (Neurological Effects of eDSP on Subjects with A-T)</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Novosteo</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Novosteo, Inc.</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OLE</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Open-Label Extension Clinical Trial</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R&amp;D</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Research and Development</w:t>
            </w:r>
          </w:p>
        </w:tc>
      </w:tr>
      <w:tr>
        <w:trPr/>
        <w:tc>
          <w:tcPr>
            <w:tcW w:w="1501"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RSU</w:t>
            </w:r>
          </w:p>
        </w:tc>
        <w:tc>
          <w:tcPr>
            <w:tcW w:w="8704"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Restricted Stock Units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6188" w:type="dxa"/>
        <w:jc w:val="left"/>
        <w:tblInd w:w="0" w:type="dxa"/>
        <w:tblLayout w:type="fixed"/>
        <w:tblCellMar>
          <w:top w:w="28" w:type="dxa"/>
          <w:left w:w="28" w:type="dxa"/>
          <w:bottom w:w="28" w:type="dxa"/>
          <w:right w:w="28" w:type="dxa"/>
        </w:tblCellMar>
      </w:tblPr>
      <w:tblGrid>
        <w:gridCol w:w="1789"/>
        <w:gridCol w:w="4399"/>
      </w:tblGrid>
      <w:tr>
        <w:trPr/>
        <w:tc>
          <w:tcPr>
            <w:tcW w:w="1789" w:type="dxa"/>
            <w:tcBorders/>
            <w:vAlign w:val="center"/>
          </w:tcPr>
          <w:p>
            <w:pPr>
              <w:pStyle w:val="TableContents"/>
              <w:bidi w:val="0"/>
              <w:spacing w:before="0" w:after="283"/>
              <w:jc w:val="left"/>
              <w:rPr>
                <w:sz w:val="4"/>
                <w:szCs w:val="4"/>
              </w:rPr>
            </w:pPr>
            <w:r>
              <w:rPr>
                <w:sz w:val="4"/>
                <w:szCs w:val="4"/>
              </w:rPr>
            </w:r>
          </w:p>
        </w:tc>
        <w:tc>
          <w:tcPr>
            <w:tcW w:w="4399" w:type="dxa"/>
            <w:tcBorders/>
            <w:vAlign w:val="center"/>
          </w:tcPr>
          <w:p>
            <w:pPr>
              <w:pStyle w:val="TableContents"/>
              <w:bidi w:val="0"/>
              <w:spacing w:before="0" w:after="283"/>
              <w:ind w:left="0" w:right="0" w:firstLine="63"/>
              <w:jc w:val="left"/>
              <w:rPr>
                <w:sz w:val="4"/>
                <w:szCs w:val="4"/>
              </w:rPr>
            </w:pPr>
            <w:r>
              <w:rPr>
                <w:sz w:val="4"/>
                <w:szCs w:val="4"/>
              </w:rPr>
            </w:r>
          </w:p>
        </w:tc>
      </w:tr>
      <w:tr>
        <w:trPr/>
        <w:tc>
          <w:tcPr>
            <w:tcW w:w="1789" w:type="dxa"/>
            <w:tcBorders>
              <w:top w:val="single" w:sz="8" w:space="0" w:color="000000"/>
              <w:left w:val="single" w:sz="8" w:space="0" w:color="000000"/>
              <w:bottom w:val="single" w:sz="8" w:space="0" w:color="000000"/>
            </w:tcBorders>
            <w:tcMar>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Sarbanes-Oxley Act</w:t>
            </w:r>
          </w:p>
        </w:tc>
        <w:tc>
          <w:tcPr>
            <w:tcW w:w="4399" w:type="dxa"/>
            <w:tcBorders>
              <w:top w:val="single" w:sz="8" w:space="0" w:color="000000"/>
              <w:left w:val="single" w:sz="8" w:space="0" w:color="000000"/>
              <w:bottom w:val="single" w:sz="8" w:space="0" w:color="000000"/>
              <w:right w:val="single" w:sz="8" w:space="0" w:color="000000"/>
            </w:tcBorders>
            <w:tcMar>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The Sarbanes-Oxley Act of 2002</w:t>
            </w:r>
          </w:p>
        </w:tc>
      </w:tr>
      <w:tr>
        <w:trPr/>
        <w:tc>
          <w:tcPr>
            <w:tcW w:w="1789"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SEC</w:t>
            </w:r>
          </w:p>
        </w:tc>
        <w:tc>
          <w:tcPr>
            <w:tcW w:w="4399"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United States Securities and Exchange Commission</w:t>
            </w:r>
          </w:p>
        </w:tc>
      </w:tr>
      <w:tr>
        <w:trPr/>
        <w:tc>
          <w:tcPr>
            <w:tcW w:w="1789" w:type="dxa"/>
            <w:tcBorders>
              <w:left w:val="single" w:sz="8" w:space="0" w:color="000000"/>
              <w:bottom w:val="single" w:sz="8" w:space="0" w:color="000000"/>
            </w:tcBorders>
            <w:tcMar>
              <w:top w:w="0" w:type="dxa"/>
              <w:left w:w="53" w:type="dxa"/>
              <w:right w:w="0"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Securities Act</w:t>
            </w:r>
          </w:p>
        </w:tc>
        <w:tc>
          <w:tcPr>
            <w:tcW w:w="4399" w:type="dxa"/>
            <w:tcBorders>
              <w:left w:val="single" w:sz="8" w:space="0" w:color="000000"/>
              <w:bottom w:val="single" w:sz="8" w:space="0" w:color="000000"/>
              <w:right w:val="single" w:sz="8" w:space="0" w:color="000000"/>
            </w:tcBorders>
            <w:tcMar>
              <w:top w:w="0" w:type="dxa"/>
              <w:left w:w="53" w:type="dxa"/>
              <w:right w:w="53" w:type="dxa"/>
            </w:tcMar>
            <w:vAlign w:val="center"/>
          </w:tcPr>
          <w:p>
            <w:pPr>
              <w:pStyle w:val="TableContents"/>
              <w:bidi w:val="0"/>
              <w:spacing w:before="45" w:after="20"/>
              <w:ind w:left="0" w:right="0" w:firstLine="63"/>
              <w:jc w:val="left"/>
              <w:rPr>
                <w:rFonts w:ascii="Times New Roman" w:hAnsi="Times New Roman"/>
                <w:color w:val="000000"/>
                <w:sz w:val="20"/>
              </w:rPr>
            </w:pPr>
            <w:r>
              <w:rPr>
                <w:rFonts w:ascii="Times New Roman" w:hAnsi="Times New Roman"/>
                <w:color w:val="000000"/>
                <w:sz w:val="20"/>
              </w:rPr>
              <w:t>Securities Act of 1933</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financial_information"/>
      <w:bookmarkEnd w:id="3"/>
      <w:r>
        <w:rPr>
          <w:rFonts w:ascii="Times New Roman" w:hAnsi="Times New Roman"/>
          <w:b/>
          <w:color w:val="000000"/>
          <w:sz w:val="20"/>
        </w:rPr>
        <w:t>PART I—FINANCIAL INFORMATION</w:t>
      </w:r>
    </w:p>
    <w:p>
      <w:pPr>
        <w:pStyle w:val="TextBody"/>
        <w:bidi w:val="0"/>
        <w:spacing w:before="240" w:after="120"/>
        <w:jc w:val="left"/>
        <w:rPr>
          <w:rFonts w:ascii="Times New Roman" w:hAnsi="Times New Roman"/>
          <w:b/>
          <w:color w:val="000000"/>
          <w:sz w:val="20"/>
        </w:rPr>
      </w:pPr>
      <w:bookmarkStart w:id="4" w:name="financial_statements"/>
      <w:bookmarkEnd w:id="4"/>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17"/>
        <w:gridCol w:w="227"/>
        <w:gridCol w:w="907"/>
        <w:gridCol w:w="166"/>
        <w:gridCol w:w="146"/>
        <w:gridCol w:w="246"/>
        <w:gridCol w:w="982"/>
        <w:gridCol w:w="614"/>
      </w:tblGrid>
      <w:tr>
        <w:trPr/>
        <w:tc>
          <w:tcPr>
            <w:tcW w:w="69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22,896</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67,819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93,523</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contingent consideration</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43,226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contingent consideration</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129,237</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1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authorized, no shares issued and outstanding as of March 31, 2026 and December 31, 2025, respectively</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$0.001 par value, 250,000,000 shares authorized, 13,790,794 and 5,572,529 issued and outstanding as of March 31, 2026 and December 31, 2025, respectively</w:t>
            </w:r>
            <w:r>
              <w:rPr>
                <w:rFonts w:ascii="Times New Roman" w:hAnsi="Times New Roman"/>
                <w:color w:val="000000"/>
                <w:sz w:val="13"/>
              </w:rPr>
              <w:t>(1)</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Additional paid in capital</w:t>
            </w:r>
            <w:r>
              <w:rPr>
                <w:rFonts w:ascii="Times New Roman" w:hAnsi="Times New Roman"/>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418,981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(460,451</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 (deficit)</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93,523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Adjusted prior period common stock and additional paid-in-capital to reflect the 1-for-10 reverse stock split effected on April 10, 2026.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6" w:name="statements_of_operations"/>
      <w:bookmarkEnd w:id="6"/>
      <w:r>
        <w:rPr>
          <w:rFonts w:ascii="Times New Roman" w:hAnsi="Times New Roman"/>
          <w:b/>
          <w:color w:val="000000"/>
          <w:sz w:val="20"/>
        </w:rPr>
        <w:t>CONDENSED CONSOLIDATED STATEMENTS OF OPERATIONS AND COMPREHENSIVE INCOME (LOSS)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center"/>
        <w:rPr/>
      </w:pPr>
      <w:r>
        <w:rPr/>
        <w:t> </w:t>
      </w:r>
    </w:p>
    <w:tbl>
      <w:tblPr>
        <w:tblW w:w="8669" w:type="dxa"/>
        <w:jc w:val="left"/>
        <w:tblInd w:w="0" w:type="dxa"/>
        <w:tblLayout w:type="fixed"/>
        <w:tblCellMar>
          <w:top w:w="28" w:type="dxa"/>
          <w:left w:w="28" w:type="dxa"/>
          <w:bottom w:w="28" w:type="dxa"/>
          <w:right w:w="28" w:type="dxa"/>
        </w:tblCellMar>
      </w:tblPr>
      <w:tblGrid>
        <w:gridCol w:w="5536"/>
        <w:gridCol w:w="146"/>
        <w:gridCol w:w="211"/>
        <w:gridCol w:w="931"/>
        <w:gridCol w:w="166"/>
        <w:gridCol w:w="146"/>
        <w:gridCol w:w="211"/>
        <w:gridCol w:w="931"/>
        <w:gridCol w:w="3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(loss) per share – basic</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shares of common stock outstanding – basic</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9,120,267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4,394,119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(loss) per share – diluted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 average shares of common stock outstanding – 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9,190,354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4,394,119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Adjusted prior period net loss per share and weighted average of common shares outstanding to reflect the 1-for-10 reverse stock split effected on April 10, 2026.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sz w:val="20"/>
        </w:rPr>
      </w:pPr>
      <w:bookmarkStart w:id="7" w:name="sse"/>
      <w:bookmarkEnd w:id="7"/>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r>
        <w:rPr>
          <w:rFonts w:ascii="Times New Roman" w:hAnsi="Times New Roman"/>
          <w:b/>
          <w:color w:val="000000"/>
          <w:sz w:val="20"/>
        </w:rPr>
        <w:t>(DEFICIT)</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3"/>
        <w:gridCol w:w="146"/>
        <w:gridCol w:w="146"/>
        <w:gridCol w:w="916"/>
        <w:gridCol w:w="146"/>
        <w:gridCol w:w="146"/>
        <w:gridCol w:w="249"/>
        <w:gridCol w:w="442"/>
        <w:gridCol w:w="146"/>
        <w:gridCol w:w="146"/>
        <w:gridCol w:w="196"/>
        <w:gridCol w:w="691"/>
        <w:gridCol w:w="146"/>
        <w:gridCol w:w="146"/>
        <w:gridCol w:w="325"/>
        <w:gridCol w:w="950"/>
        <w:gridCol w:w="166"/>
        <w:gridCol w:w="146"/>
        <w:gridCol w:w="217"/>
        <w:gridCol w:w="834"/>
        <w:gridCol w:w="166"/>
        <w:gridCol w:w="146"/>
        <w:gridCol w:w="256"/>
        <w:gridCol w:w="870"/>
        <w:gridCol w:w="414"/>
      </w:tblGrid>
      <w:tr>
        <w:trPr/>
        <w:tc>
          <w:tcPr>
            <w:tcW w:w="2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9791" w:type="dxa"/>
            <w:gridSpan w:val="2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 2026 and 2025</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Common Stock</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Capital</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5,572,529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(35,714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in connection with the ATM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8,018,500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on exercise of pre-funded warrants,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(loss) on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13,790,794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15,672</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4,400,164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406,649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30,146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(loss) on available for 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0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0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4,408,913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18,581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Adjusted prior period common stock and additional paid-in-capital to reflect the 1-for-10 reverse stock split effected on April 10, 2026.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8" w:name="statements_of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217"/>
        <w:gridCol w:w="546"/>
        <w:gridCol w:w="270"/>
        <w:gridCol w:w="945"/>
        <w:gridCol w:w="212"/>
        <w:gridCol w:w="187"/>
        <w:gridCol w:w="270"/>
        <w:gridCol w:w="945"/>
        <w:gridCol w:w="613"/>
      </w:tblGrid>
      <w:tr>
        <w:trPr/>
        <w:tc>
          <w:tcPr>
            <w:tcW w:w="621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the fair value of contingent consideration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debt, net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settlement of 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discount on available-for-sale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operating leases and operating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of common stock in connection with the ATM offerings, net of issuance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upon exercise of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debt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cash provided by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exchange rate changes on cash</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cash flow and non-cash information:</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 on debt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exercise of pre-funded warrants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QUINCE THERAPEUTICS, INC.</w:t>
      </w:r>
    </w:p>
    <w:p>
      <w:pPr>
        <w:pStyle w:val="TextBody"/>
        <w:bidi w:val="0"/>
        <w:jc w:val="center"/>
        <w:rPr>
          <w:rFonts w:ascii="Times New Roman" w:hAnsi="Times New Roman"/>
          <w:b/>
          <w:color w:val="000000"/>
          <w:sz w:val="20"/>
        </w:rPr>
      </w:pPr>
      <w:bookmarkStart w:id="9" w:name="notes_to_consolidated_financial_stmt"/>
      <w:bookmarkEnd w:id="9"/>
      <w:r>
        <w:rPr>
          <w:rFonts w:ascii="Times New Roman" w:hAnsi="Times New Roman"/>
          <w:b/>
          <w:color w:val="000000"/>
          <w:sz w:val="20"/>
        </w:rPr>
        <w:t>NOTES TO CONDENSED CONSOLIDATED FINANCIAL STATEMENTS (Unaudited)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Organization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Quince Therapeutics, Inc. ("Quince" or the "Company") is a late-stage biotechnology company dedicated to unlocking the power of a patient’s own biology for the treatment of rare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Quince's proprietary AIDE technology is an innovative drug/device combination platform that uses an automated process to encapsulate a drug into a patient’s own red blood cells. Our Phase 3 lead asset, eDSP, leverages the AIDE technology to encapsulate DSP into a patient’s own red blood cells, and is targeted to treat a rare pediatric neurodegenerative disease, A-T. In January 2026 the Company completed its pivotal Phase 3 NEAT clinical trial to evaluate the treatment of A-T. In the NEAT study, the primary endpoint, which measured the change from baseline to last efficacy visit at month six using the Rescored modified International Cooperative Ataxia Rating Scale (RmICARS) compared to placebo, did not reach statistical significance. Based on the results of the NEAT clinical trial, eDSP does not appear to be an effective treatment for A-T and the Company will be unable to continue development of eDSP in this or other therapeutic indications. As a result, the Company has engaged LifeSci Capital as its exclusive financial advisor to assist in restructuring activities and to evaluate strategic alternatives aimed at maximizing shareholder value.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losses and negative cash flows from operations since inception and expects to continue to generate operating losses for the foreseeable future. As of March 31, 2026, the Company had an accumulated deficit of $424.5 million. Since inception through March 31, 2026, the Company has funded operations primarily with the net proceeds from the sale of its securities, from the net proceeds from the Company’s initial public offering (the “IPO”) and from the net proceeds of the private investment in public equity transaction (“PIPE Financing”). As of March 31, 2026, the Company had cash and cash equivalents of $18.2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evaluated whether there are conditions and events, considered in the aggregate, that raise substantial doubt about its ability to continue as a going concern within one year after the date that these unaudited condensed consolidated financial statements are issued. In January 2026, the Company ceased clinical development of eDSP as the primary and secondary endpoints did not achieve statistical significance in its Phase 3 NEAT clinical trial. Based on its current operating plan, the Company believes that its cash and cash equivalents balance will not be sufficient to fund operations and capital expenditures for at least the twelve months following the issuance of these unaudited condensed consolidated financial statements, and the Company will need to obtain additional funding. The Company has no other current product candidates. The Company is currently focused on preserving cash while it evaluates available strategic alternatives. Because of the uncertainty in securing additional funding and the insufficient amount of cash and cash equivalent resources as of the issuance of these unaudited condensed consolidated financial statements, management concluded that substantial doubt exists with respect to the Company's ability to continue as a going concern within one year after the date that these unaudited condensed consolidated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on a going concern basis, which contemplates the realization of assets and satisfaction of liabilities in the ordinary course of business. 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of EryDel on October 20, 2023 (the “EryDel Acquisition”), the Company became a guarantor in respect of an unsecured line of credit between EryDel and the European Investment Bank (the “EIB Loan” or “Debt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EIB agreed to a full settlement of all obligations associated with the loan with a single payment of 4.8 million euros ($5.5 million) which was paid on March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Quince Therapeutics, Inc. and its wholly owned subsidiaries. All intercompany balances and transactions have been eliminated upon consolidation.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the notes thereto have been prepared in accordance with GAAP for interim financial information and pursuant to the instructions of the SEC on Form 10-Q and Article 8 of Regulation S-X. Accordingly, they do not include all of the information and footnotes required by GAAP for complete financial statements. In the management’s opinion, all adjustments (consisting only of normal recurring adjustments) considered necessary for the fair statement of the results of operations and cash flows for the periods presented have been included.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condensed consolidated balance sheet as of March 31, 2026, the condensed consolidated statements of operations and comprehensive income (loss) for the three months ended March 31, 2026 and 2025, the condensed consolidated statements of stockholders’ equity (deficit) for the three months ended March 31, 2026 and 2025, the condensed consolidated statements of cash flows for the three months ended March 31, 2026 and 2025, and the financial data and other financial information disclosed in the notes to the condensed consolidated financial statements are unaudited. These financial statements should be read in conjunction with the audited financial statements and notes thereto for the year ended December 31, 2025 included in the Company’s Form 10-K filed with the SEC on April 10, 2026. The results of operations for the three months ended March 31, 2026 are not necessarily indicative of the results to be expected for the year ending December 31, 2026 or for any other future annual or interim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10, 2026, the Company effected a 1-for-10 reverse stock split of its outstanding common stock (the “Reverse Stock Split”). The reverse stock split became effective as of 11:59 p.m., Eastern Time, on April 10, 2026 and the Company’s common stock began trading on the Nasdaq Stock Market on a split-adjusted basis on April 13, 2026. The Reverse Stock Split did not change the par value of the common stock or the authorized number of shares of common stock. All share and per share information has been retroactively adjusted to reflect the Reverse Stock Split for all periods presented in this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results of the NEAT clinical trial, the Company will be unable to continue development of eDSP. The Company is currently focused on preserving cash while it evaluates available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engaged LifeSci Capital as its exclusive financial advisor to assist in restructuring activities and evaluate strategic alternatives aimed at maximizing shareholder value, the Company does not currently have any agreements or commitments to effect any such transactions and may not be able to execute such transactions on terms favorable to the Company or its stockholders,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Factors that could affect the Company’s future operating results and cause actual results to vary materially from expectations include, but are not limited to, the Company’s ability to maintain sufficient funding while evaluating strategic alternatives or successfully effect a strategic transaction.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the Company’s consolidated financial statements in conformity with GAAP requires management to make estimates and assumptions that affect the reported amounts of assets, liabilities, and expenses, as well as related disclosure of contingent assets and liabilities. The most significant estimates used in the Company’s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relate to the determination of the fair value of identifiable assets and liabilities in connection with business combinations including associated intangible assets, the fair value of contingent consideration, warrant liabilities and debt, accruals for research and development costs, useful lives of long-lived assets, stock-based compensation and related assumptions, the incremental borrowing rate for leases and income tax uncertainties, including a valuation allowance for deferred tax assets, impairment of intangible assets; and contingencies. The Company bases its estimates on historical experience and on various other market specific and other relevant assumptions that it believes to be reasonable under the circumstances, the results of which form the basis for making judgments about the carrying values of assets and liabilities that are not readily apparent from other sources. Actual results could differ materially from the Company’s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 and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functional currency of the Company’s wholly-owned subsidiaries are the Euro and Australian Dollar. The Company's financial results and financial position are translated into U.S. dollars using exchange rates at balance sheet dates for assets and liabilities and using average exchange rates for income and expenses. The resulting translation differences are presented as a separate component of accumulated other comprehensive income (loss), as a separate component of equity.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Foreign currency transactions are translated into the functional currencies using the exchange rates prevailing at the dates of the transactions. Foreign exchange gains and losses, resulting from the settlement of such transactions and from the re-measurement of monetary assets and liabilities denominated in foreign currencies using exchange rates at balance sheet date and non-monetary assets and liabilities using historical exchange rates, are recognized in the condensed consolidated statements of operations and comprehensive income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operates as one operating and reportable segment, which has been the business of developing and commercializing the Company's proprietary AIDE technology platform. The key factors used to identify the reportable segments are the organization of its business and alignment of the Company's internal operations and the nature of its AIDE technology. Operating segments are defined as components of an enterprise for which discrete financial information is available and is evaluated regularly by the CODM, in deciding how to allocate resources and assess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Executive Officer, who is the CODM, reviews financial information on a consolidated basis for purposes of allocating and evaluating financial performance. The CODM evaluates the Company’s performance and resource allocation by analyzing consolidated financial information. See Note 14 for further details.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Definite lived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with a definite useful life are amortized on a straight-line basis over the estimated useful life of the related assets. The Company regularly reviews whether current conditions or events suggest that the carrying values of its acquired definite lived intangible assets might not be recoverable. When such conditions are identified, an estimate of the undiscounted future cash flows from these assets, or relevant asset groupings, is compared to their carrying value to determine if an impairment exists. If an impairment is identified, the loss is calculated as the difference between the carrying value of the intangible asset and its fair value, which is based on the net present value of the estimated future cash flows.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Indefinite lived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with an indefinite useful life are not amortized. Intangible assets acquired in a business combination or an acquisition that are used in research and development activities (regardless of whether they have an alternative future use) shall be considered indefinite lived until the completion or abandonment of the associated research and development efforts. Intangible assets acquired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business combination are initially recorded at fair value. During the period that those assets are considered indefinite lived, they shall not be amortized but shall be tested for impairment. Once the research and development efforts are completed or abandoned, the entity shall determine the useful life of the assets. An indefinite lived intangible asset shall be tested for impairment annually and more frequently if events or changes in circumstances indicate that it is more likely than not that the asset is impaired. The Company first assesses qualitative factors to determine whether it is more likely than not that the fair value of the intangible asset is less than its carrying amount. If that is the case, the Company performs a quantitative impairment test, and, if the carrying amount of the Company exceeds its fair value, then the Company will recognize an impairment charge for the amount by which its carrying amount exceeds its fair value, not to exceed the carrying amount of the intangible asset. Qualitative factors to be considered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factors such as increases in raw materials, labor, or other costs that have a negative effect on future expected earnings and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Legal/regulatory factors or progress and results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relevant entity-specific events such as changes in management, key personnel, strategy, or customers; contemplation of bankruptcy; or litigation that could affect significant inputs used to determine the fair value of the indefinite-lived intangible asset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and market considerations such as a deterioration in the environment in which an entity operates, or a more competitive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such as deterioration in general economic conditions, limitations on accessing capital, fluctuations in foreign exchange rates, or other developments in equity and credit markets that could affect significant inputs used to determine the fair value of the indefinite-lived intangible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 clinical readout of the Phase III NEAT study in January 2026 (see Note 1), the research and development associated with the IPR&amp;D was abandoned and an impairment charge recorded to reduce the carrying value to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determines the fair value of contingent consideration related to the Company's acquisition of EryDel in October 2023 using a probability-weighted discounted cash flow method, with significant inputs that are not observable in the market and thus represents a Level 3 fair value measurement as defined in ASC Topic 820, Fair Value Measurement. The significant inputs in the Level 3 measurement not supported by market activity include the probability assessments of expected future cash flows, during the contingent consideration period, appropriately discounted considering the uncertainties associated with the earnout obligation, and calculated in accordance with the terms of the definitive agreement. The liability for the contingent consideration were initially established at the time of the acquisition and are evaluated on a quarterly basis based on additional information as it becomes available. Any change in the fair value adjustment is recorded in the earnings of that period. Changes in the fair value of the contingent consideration obligations may result from changes in probability assumptions with respect to the likelihood of achieving the various contingent payment obligations. Significant increases or decreases in the inputs noted above in isolation would result in a significantly lower or higher fair value measurement. As a result of the clinical readout of the Phase III NEAT study in January 2026 (see Note 1), the criteria for the contingent consideration payments will not be met, resulting in the related liability being reduced to zero.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maturities of three months or less when purchased to be cash equivalents. Cash equivalents include marketable securities. Management determines the appropriate classification of its investments in debt securities at the time of purchase and at the end of each reporting period. Investments with maturities beyond three months at the date of purchase and which mature at, or less than twelve months from the balance sheet date are classified as short-term investments. Collectively, cash equivalents and short-term investments are considered available-for-sale and are recorded at fair value. Unrealized gains and losses are recorded as a component of other comprehensive income (loss) in the consolidated statements of operations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included as a separate component of consolidated statements of stockholders’ equity. Realized gains and losses are included in interest income in the condensed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Premiums (discounts) are amortized (accreted) over the life of the related investment as an adjustment to yield using the straight-line interest method. Dividend and interest income are recognized when earned. These amounts are recorded in “interest income” in the condensed consolidated statements of operations and comprehensive income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Company accounts for warrants as equity-classified or liability-classified instruments based on an assessment of the warrant’s specific terms. The assessment considers whether the warrants are freestanding financial instruments, meet the definition of a liability, and whether the warrants meet all of the requirements for equity classification,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warrants that meet all criteria for equity classification, the warrants are recorded as a component of additional paid-in capital in the condensed consolidated balance sheets at the time of issuance. For warrants that do not meet all the criteria for equity classification, the warrants are recorded as liabilities at their initial fair value on the date of issuance, and each balance sheet date thereafter. Changes in the estimated fair value of the warrants are recognized within the condensed consolidated statements of operations. The fair value of the warrants is estimated using the Black-Scholes option pricing model (see Note 9).</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Reserve for Italian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maintains a reserve for Italian research and development tax credit to reflect estimated loss of utilization due to the wind-down of the business. This estimate is based on historical utilization and management’s judgment regarding forecasted utilization. The reserve is reviewed quarterly, and adjustments are recorded in research and development operating expense in the period they become known.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new accounting standards adopted during the three months ended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 Accounting Pronouncements Not Yet Adopted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new accounting pronouncements that the Company is evaluating for future impacts on its financial statements: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ASU 2024-03, </w:t>
      </w:r>
      <w:r>
        <w:rPr>
          <w:rFonts w:ascii="Times New Roman" w:hAnsi="Times New Roman"/>
          <w:i/>
          <w:color w:val="000000"/>
          <w:sz w:val="20"/>
        </w:rPr>
        <w:t>Disaggregation of Income Statement Expenses (“DISE”)</w:t>
      </w:r>
      <w:r>
        <w:rPr>
          <w:rFonts w:ascii="Times New Roman" w:hAnsi="Times New Roman"/>
          <w:color w:val="000000"/>
          <w:sz w:val="20"/>
        </w:rPr>
        <w:t>. In November 2024, the FASB issued a new accounting standard to improve the disclosures about an entity’s expenses and address requests from investors for more detailed information about the types of expenses included in commonly presented expense captions. The new standard is effective for annual reporting periods beginning after December 15, 2026, and interim reporting periods beginning after December 15, 2027, with retrospective application permitted. The Company is evaluating the disclosure requirements related to the new standard.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ASU 2025-11, Interim Reporting (Topic 270): Narrow-Scope Improvements. In December 2025, the FASB issued a new accounting standard to clarify the applicability of interim reporting guidance under GAAP, provide a comprehensive list of interim disclosure requirements within Topic 270, and introduce a disclosure principle requiring entities to provide information about events and changes occurring after the end of the most recent annual reporting period that have a material impact on the entity. The ASU does not change the fundamental nature of interim reporting or expand or reduce existing interim disclosure requirements. ASU 2025-11 is effective for interim reporting periods within annual reporting periods beginning after December 15, 2027 for public business entities, with early adoption permitted. The Company is currently evaluating the impact of this guidance on its interim financial reporting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newly issued accounting pronouncements not yet effective have been deemed either immaterial or 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3. Fair Value Measurements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Company's financial instruments reflects the amounts that the Company estimates that it would receive in connection with the sale of an asset or pay in connection with the transfer of a liability in an orderly transaction between market participants at the measurement date (exit price). The Company discloses and recognizes the fair value of the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Inputs that reflect unadjusted quoted prices in active markets for identical assets or liabilities that the Company has the ability to access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Inputs other than quoted prices that are observable for the assets or liability either directly or indirectly, including inputs in markets that are not considered to be 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Inputs that are unobservable. Assets and liabilities measured at fair value are classified in their entirety based on the lowest level of input that is significant to the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assessment of the significance of a particular input to the fair value measurement in its entirety requires management to make judgments and consider factors specific to the asset or liability. The Company recognizes transfers between levels of the fair value hierarchy as of the end of the reporting period. There were no transfers within the hierarchy during the three months ended March 31, 2026 and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elected the fair value option for the EIB Loan guaranteed by the Company in connection with the EryDel Acquisition. The Company adjusted the EIB Loan to fair value through the change in fair value of debt in the accompanying condensed consolidated statements of operations and comprehensive income (loss). Subsequent unrealized gains and losses on items for which the fair value option is elected are reported in earnings. The Company will break out any change in value due to credit loss in accumulated other comprehensive loss. For the three months ended March 31, 2026 and year ended December 31, 2025, there was no change in value due to credit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assets and liabilities subject to fair value measurements on a recurring basis and the level of inputs used in such measurements by major security type as of March 31, 2026 and December 31, 2025 are presented in the following tables (in thousands):</w:t>
      </w:r>
    </w:p>
    <w:p>
      <w:pPr>
        <w:pStyle w:val="TextBody"/>
        <w:bidi w:val="0"/>
        <w:jc w:val="left"/>
        <w:rPr/>
      </w:pPr>
      <w:r>
        <w:rPr/>
        <w:t> </w:t>
      </w:r>
    </w:p>
    <w:tbl>
      <w:tblPr>
        <w:tblW w:w="6450" w:type="dxa"/>
        <w:jc w:val="left"/>
        <w:tblInd w:w="0" w:type="dxa"/>
        <w:tblLayout w:type="fixed"/>
        <w:tblCellMar>
          <w:top w:w="28" w:type="dxa"/>
          <w:left w:w="28" w:type="dxa"/>
          <w:bottom w:w="28" w:type="dxa"/>
          <w:right w:w="28" w:type="dxa"/>
        </w:tblCellMar>
      </w:tblPr>
      <w:tblGrid>
        <w:gridCol w:w="2001"/>
        <w:gridCol w:w="146"/>
        <w:gridCol w:w="211"/>
        <w:gridCol w:w="676"/>
        <w:gridCol w:w="146"/>
        <w:gridCol w:w="146"/>
        <w:gridCol w:w="211"/>
        <w:gridCol w:w="676"/>
        <w:gridCol w:w="146"/>
        <w:gridCol w:w="146"/>
        <w:gridCol w:w="239"/>
        <w:gridCol w:w="391"/>
        <w:gridCol w:w="146"/>
        <w:gridCol w:w="146"/>
        <w:gridCol w:w="211"/>
        <w:gridCol w:w="421"/>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tbl>
      <w:tblPr>
        <w:tblW w:w="8327" w:type="dxa"/>
        <w:jc w:val="left"/>
        <w:tblInd w:w="0" w:type="dxa"/>
        <w:tblLayout w:type="fixed"/>
        <w:tblCellMar>
          <w:top w:w="28" w:type="dxa"/>
          <w:left w:w="28" w:type="dxa"/>
          <w:bottom w:w="28" w:type="dxa"/>
          <w:right w:w="28" w:type="dxa"/>
        </w:tblCellMar>
      </w:tblPr>
      <w:tblGrid>
        <w:gridCol w:w="3261"/>
        <w:gridCol w:w="146"/>
        <w:gridCol w:w="211"/>
        <w:gridCol w:w="781"/>
        <w:gridCol w:w="146"/>
        <w:gridCol w:w="146"/>
        <w:gridCol w:w="211"/>
        <w:gridCol w:w="571"/>
        <w:gridCol w:w="146"/>
        <w:gridCol w:w="146"/>
        <w:gridCol w:w="211"/>
        <w:gridCol w:w="676"/>
        <w:gridCol w:w="146"/>
        <w:gridCol w:w="146"/>
        <w:gridCol w:w="211"/>
        <w:gridCol w:w="781"/>
        <w:gridCol w:w="39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classifies government and agency notes as Level 2 investments as the Company uses quoted prices for similar assets sourced from certain third-party pricing services. The third-party pricing services generally utilize industry standard valuation models for which all significant inputs are observable, either directly or indirectly, to estimate the price or fair value of the securities. The primary input generally includes reported trades or quotes on the same or similar securities. The Company does not make additional judgments or assumptions made to the pricing data sourced from the third-party pricing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Level 3 Assets and Liabilities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the changes in present value of acquisition related accrued earnouts of contingent consideration liability using significant unobservable inputs (Level 3) for the three months ended March 31, 2026 and 2025 (in thousands):</w:t>
      </w:r>
    </w:p>
    <w:p>
      <w:pPr>
        <w:pStyle w:val="TextBody"/>
        <w:bidi w:val="0"/>
        <w:jc w:val="left"/>
        <w:rPr/>
      </w:pPr>
      <w:r>
        <w:rPr/>
        <w:t> </w:t>
      </w:r>
    </w:p>
    <w:tbl>
      <w:tblPr>
        <w:tblW w:w="4940" w:type="dxa"/>
        <w:jc w:val="left"/>
        <w:tblInd w:w="0" w:type="dxa"/>
        <w:tblLayout w:type="fixed"/>
        <w:tblCellMar>
          <w:top w:w="28" w:type="dxa"/>
          <w:left w:w="28" w:type="dxa"/>
          <w:bottom w:w="28" w:type="dxa"/>
          <w:right w:w="28" w:type="dxa"/>
        </w:tblCellMar>
      </w:tblPr>
      <w:tblGrid>
        <w:gridCol w:w="1771"/>
        <w:gridCol w:w="146"/>
        <w:gridCol w:w="280"/>
        <w:gridCol w:w="980"/>
        <w:gridCol w:w="166"/>
        <w:gridCol w:w="146"/>
        <w:gridCol w:w="299"/>
        <w:gridCol w:w="961"/>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58,615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contingent consideration arrangement requires the Company to pay up to $485.0 million of additional consideration in cash, comprised of up to $5.0 million upon the enrollment of the first patient in the Phase 3 NEAT clinical trial, which was paid in 2024, $25.0 million at NDA acceptance, up to $60.0 million upon the achievement of specified approval milestones, and up to $395.0 million upon the achievement of specified on market and sales milestones. The Company owes no further payments to EryDel shareholders for development-related milestones. The remaining potential contingent payments in connection with the EryDel Acquisition pertain to approval, on market and sales milestones. As of March 31, 2026, no approval, on market, or sales milestones were met. As a result of the clinical readout of the Phase III NEAT study in January 2026 (see Note 1), the criteria for the contingent consideration payments will not be met, resulting in the related liability being reduced to zero.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estimate the fair value of the contingent consideration, the Company used a probability-weighted discounted cash flow model with an expected present value valuation technique with significant unobservable fair value inputs and is therefore classified as a Level 3 measurement. The estimates of fair value are uncertain and changes in the estimated inputs may result in significant adjustments to the fair value. The unobservable inputs consisted of the expected timing of milestone completion dates, probability of achievement,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discount rate. The change in the fair value of the contingent consideration is primarily due to the expected timing of achieving various milestones, and the passage of time related to the contingent consideration earnout resulting from the EryDel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assumptions used in the valuation of the contingent consideration in the period presented (in thousands except for percentages):</w:t>
      </w:r>
    </w:p>
    <w:p>
      <w:pPr>
        <w:pStyle w:val="TextBody"/>
        <w:bidi w:val="0"/>
        <w:jc w:val="left"/>
        <w:rPr/>
      </w:pPr>
      <w:r>
        <w:rPr/>
        <w:t> </w:t>
      </w:r>
    </w:p>
    <w:tbl>
      <w:tblPr>
        <w:tblW w:w="5728" w:type="dxa"/>
        <w:jc w:val="left"/>
        <w:tblInd w:w="0" w:type="dxa"/>
        <w:tblLayout w:type="fixed"/>
        <w:tblCellMar>
          <w:top w:w="28" w:type="dxa"/>
          <w:left w:w="28" w:type="dxa"/>
          <w:bottom w:w="28" w:type="dxa"/>
          <w:right w:w="28" w:type="dxa"/>
        </w:tblCellMar>
      </w:tblPr>
      <w:tblGrid>
        <w:gridCol w:w="4036"/>
        <w:gridCol w:w="146"/>
        <w:gridCol w:w="1546"/>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timing of milestones completion dates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2026 - 2038</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w:t>
            </w:r>
          </w:p>
        </w:tc>
      </w:tr>
      <w:tr>
        <w:trPr/>
        <w:tc>
          <w:tcPr>
            <w:tcW w:w="40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Probability of achievement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- 56.5%</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changes in the fair value of the Level 3 EIB Loan for the three months ended March 31, 2026 and 2025 (in thousands):</w:t>
      </w:r>
    </w:p>
    <w:p>
      <w:pPr>
        <w:pStyle w:val="TextBody"/>
        <w:bidi w:val="0"/>
        <w:jc w:val="left"/>
        <w:rPr/>
      </w:pPr>
      <w:r>
        <w:rPr/>
        <w:t> </w:t>
      </w:r>
    </w:p>
    <w:tbl>
      <w:tblPr>
        <w:tblW w:w="6145" w:type="dxa"/>
        <w:jc w:val="left"/>
        <w:tblInd w:w="0" w:type="dxa"/>
        <w:tblLayout w:type="fixed"/>
        <w:tblCellMar>
          <w:top w:w="28" w:type="dxa"/>
          <w:left w:w="28" w:type="dxa"/>
          <w:bottom w:w="28" w:type="dxa"/>
          <w:right w:w="28" w:type="dxa"/>
        </w:tblCellMar>
      </w:tblPr>
      <w:tblGrid>
        <w:gridCol w:w="2956"/>
        <w:gridCol w:w="146"/>
        <w:gridCol w:w="280"/>
        <w:gridCol w:w="980"/>
        <w:gridCol w:w="166"/>
        <w:gridCol w:w="146"/>
        <w:gridCol w:w="299"/>
        <w:gridCol w:w="961"/>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foreign currency translation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estimate the fair value of the EIB Loan, the Company used an expected present value valuation technique with significant unobservable inputs resulting in classification as a Level 3 measurement. The estimate of fair value is uncertain and changes in the estimated inputs may result in significant adjustments to the fair value. The unobservable inputs consisted of discount rate which includes the credit quality of the Company and credit spreads for comparable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assumptions including the unobservable inputs related to the Company's debt in the periods presented:</w:t>
      </w:r>
    </w:p>
    <w:p>
      <w:pPr>
        <w:pStyle w:val="TextBody"/>
        <w:bidi w:val="0"/>
        <w:jc w:val="left"/>
        <w:rPr/>
      </w:pPr>
      <w:r>
        <w:rPr/>
        <w:t> </w:t>
      </w:r>
    </w:p>
    <w:tbl>
      <w:tblPr>
        <w:tblW w:w="3163" w:type="dxa"/>
        <w:jc w:val="left"/>
        <w:tblInd w:w="0" w:type="dxa"/>
        <w:tblLayout w:type="fixed"/>
        <w:tblCellMar>
          <w:top w:w="28" w:type="dxa"/>
          <w:left w:w="28" w:type="dxa"/>
          <w:bottom w:w="28" w:type="dxa"/>
          <w:right w:w="28" w:type="dxa"/>
        </w:tblCellMar>
      </w:tblPr>
      <w:tblGrid>
        <w:gridCol w:w="1201"/>
        <w:gridCol w:w="146"/>
        <w:gridCol w:w="474"/>
        <w:gridCol w:w="1026"/>
        <w:gridCol w:w="316"/>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2025, the Company issued common and pre-funded warrants which are classified as liabilities based on an assessment of the warrant’s specific terms and applicable authoritative guidance in ASC 815. The Company estimates the fair value of the common and pre-funded warrants utilizing the Black-Scholes option pricing model, which is dependent upon several Level 3 inputs that are not observable in active markets, such as expected term, volatility, risk-free interest rate, and expected dividends. Each of these inputs is subjective and generally requires judgment to determine.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key inputs used in the valuation of the liability classified warrants as of the issuance date and as of March 31, 2026: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2926"/>
        <w:gridCol w:w="146"/>
        <w:gridCol w:w="456"/>
        <w:gridCol w:w="1464"/>
        <w:gridCol w:w="271"/>
        <w:gridCol w:w="146"/>
        <w:gridCol w:w="399"/>
        <w:gridCol w:w="1281"/>
        <w:gridCol w:w="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 years</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 years</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market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 exercise price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changes in the fair value of the Level 3 liability classified warrants for the three months ended March 31, 2026:</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5071"/>
        <w:gridCol w:w="146"/>
        <w:gridCol w:w="250"/>
        <w:gridCol w:w="875"/>
        <w:gridCol w:w="211"/>
      </w:tblGrid>
      <w:tr>
        <w:trPr/>
        <w:tc>
          <w:tcPr>
            <w:tcW w:w="5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 and reclassification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0" w:name="section15"/>
      <w:bookmarkEnd w:id="10"/>
      <w:r>
        <w:rPr>
          <w:rFonts w:ascii="Times New Roman" w:hAnsi="Times New Roman"/>
          <w:b/>
          <w:color w:val="000000"/>
          <w:sz w:val="20"/>
        </w:rPr>
        <w:t>Note 4. Cash, Cash Equivalents and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categorize the fair values of cash, cash equivalents and investments measured at fair value on a recurring basis on the condensed consolidated balance sheets (in thousands):</w:t>
      </w:r>
    </w:p>
    <w:p>
      <w:pPr>
        <w:pStyle w:val="TextBody"/>
        <w:bidi w:val="0"/>
        <w:jc w:val="left"/>
        <w:rPr/>
      </w:pPr>
      <w:r>
        <w:rPr/>
        <w:t> </w:t>
      </w:r>
    </w:p>
    <w:tbl>
      <w:tblPr>
        <w:tblW w:w="6090" w:type="dxa"/>
        <w:jc w:val="left"/>
        <w:tblInd w:w="0" w:type="dxa"/>
        <w:tblLayout w:type="fixed"/>
        <w:tblCellMar>
          <w:top w:w="28" w:type="dxa"/>
          <w:left w:w="28" w:type="dxa"/>
          <w:bottom w:w="28" w:type="dxa"/>
          <w:right w:w="28" w:type="dxa"/>
        </w:tblCellMar>
      </w:tblPr>
      <w:tblGrid>
        <w:gridCol w:w="2701"/>
        <w:gridCol w:w="146"/>
        <w:gridCol w:w="299"/>
        <w:gridCol w:w="961"/>
        <w:gridCol w:w="146"/>
        <w:gridCol w:w="146"/>
        <w:gridCol w:w="357"/>
        <w:gridCol w:w="1143"/>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investments are classified as available-for-sale securities. As of March 31, 2026, there were no available-for-sale securities outstanding. There were no significant realized gains or losses recognized on the sale or maturity of available-for-sale securities for the three months ended March 31, 2025, and as a result, the Company did not reclassify any amounts out of accumulated other comprehensive income (loss). No other-than-temporary impairments on these securities were recognized for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periodically assesses its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There have been no impairments or credit losses related to available-for-sale securities for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interest and other income, net in the statement of operations and comprehensive loss. If neither criteria is met, the Company evaluates whether the decline in fair value is related to credit-related factors or other factors. In making this assessment, management considers the extent to which fair value is less than amortized cost, any changes to the rating of the security by a rating agency, and adverse conditions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related to the security, among other factors. Credit-related impairment losses, limited by the amount that the fair value is less than the amortized cost basis, are recorded through an allowance for credit losses in 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unrealized losses from declines in fair value below the amortized cost basis as a result of non-credit factors are recognized in accumulated other comprehensive income, net of tax as a separate component of stockholders’ equity, along with unrealized gains. Realized gains and losses and declines in fair value, if any, on available-for-sale securities are included in other income (expense), net in the condensed consolidated statement of operations and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purposes of identifying and measuring credit-related impairments, the Company’s policy is to exclude applicable accrued interest from both the fair value and amortized cost basis of the related security. The Company has elected to write-off uncollectible accrued interest receivable balances in a timely manner, which is defined by the Company as when interest due becomes 90 days delinquent. The accrued interest write-off will be recorded by reversing interest income. Accrued interest receivable is recorded in other current assets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available-for-sale securities (in thousands):</w:t>
      </w:r>
    </w:p>
    <w:p>
      <w:pPr>
        <w:pStyle w:val="TextBody"/>
        <w:bidi w:val="0"/>
        <w:jc w:val="left"/>
        <w:rPr/>
      </w:pPr>
      <w:r>
        <w:rPr/>
        <w:t> </w:t>
      </w:r>
    </w:p>
    <w:tbl>
      <w:tblPr>
        <w:tblW w:w="9385" w:type="dxa"/>
        <w:jc w:val="left"/>
        <w:tblInd w:w="0" w:type="dxa"/>
        <w:tblLayout w:type="fixed"/>
        <w:tblCellMar>
          <w:top w:w="28" w:type="dxa"/>
          <w:left w:w="28" w:type="dxa"/>
          <w:bottom w:w="28" w:type="dxa"/>
          <w:right w:w="28" w:type="dxa"/>
        </w:tblCellMar>
      </w:tblPr>
      <w:tblGrid>
        <w:gridCol w:w="4426"/>
        <w:gridCol w:w="146"/>
        <w:gridCol w:w="211"/>
        <w:gridCol w:w="676"/>
        <w:gridCol w:w="146"/>
        <w:gridCol w:w="146"/>
        <w:gridCol w:w="262"/>
        <w:gridCol w:w="624"/>
        <w:gridCol w:w="146"/>
        <w:gridCol w:w="146"/>
        <w:gridCol w:w="335"/>
        <w:gridCol w:w="551"/>
        <w:gridCol w:w="146"/>
        <w:gridCol w:w="146"/>
        <w:gridCol w:w="211"/>
        <w:gridCol w:w="676"/>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2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(original maturities within 90 days)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403" w:type="dxa"/>
        <w:jc w:val="left"/>
        <w:tblInd w:w="0" w:type="dxa"/>
        <w:tblLayout w:type="fixed"/>
        <w:tblCellMar>
          <w:top w:w="28" w:type="dxa"/>
          <w:left w:w="28" w:type="dxa"/>
          <w:bottom w:w="28" w:type="dxa"/>
          <w:right w:w="28" w:type="dxa"/>
        </w:tblCellMar>
      </w:tblPr>
      <w:tblGrid>
        <w:gridCol w:w="4426"/>
        <w:gridCol w:w="146"/>
        <w:gridCol w:w="212"/>
        <w:gridCol w:w="681"/>
        <w:gridCol w:w="147"/>
        <w:gridCol w:w="147"/>
        <w:gridCol w:w="335"/>
        <w:gridCol w:w="551"/>
        <w:gridCol w:w="147"/>
        <w:gridCol w:w="147"/>
        <w:gridCol w:w="335"/>
        <w:gridCol w:w="551"/>
        <w:gridCol w:w="147"/>
        <w:gridCol w:w="147"/>
        <w:gridCol w:w="212"/>
        <w:gridCol w:w="681"/>
        <w:gridCol w:w="3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and agency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11,938</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16,340</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Classified 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 (original maturities within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 (maturities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left"/>
        <w:rPr/>
      </w:pPr>
      <w:r>
        <w:rPr/>
        <w:t> </w:t>
      </w:r>
    </w:p>
    <w:tbl>
      <w:tblPr>
        <w:tblW w:w="9219" w:type="dxa"/>
        <w:jc w:val="left"/>
        <w:tblInd w:w="0" w:type="dxa"/>
        <w:tblLayout w:type="fixed"/>
        <w:tblCellMar>
          <w:top w:w="28" w:type="dxa"/>
          <w:left w:w="28" w:type="dxa"/>
          <w:bottom w:w="28" w:type="dxa"/>
          <w:right w:w="28" w:type="dxa"/>
        </w:tblCellMar>
      </w:tblPr>
      <w:tblGrid>
        <w:gridCol w:w="5776"/>
        <w:gridCol w:w="340"/>
        <w:gridCol w:w="920"/>
        <w:gridCol w:w="146"/>
        <w:gridCol w:w="146"/>
        <w:gridCol w:w="403"/>
        <w:gridCol w:w="1097"/>
        <w:gridCol w:w="391"/>
      </w:tblGrid>
      <w:tr>
        <w:trPr/>
        <w:tc>
          <w:tcPr>
            <w:tcW w:w="57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expenses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Italian research and development refundable tax credit, net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VAT receivable</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was eligible to obtain an R&amp;D tax credit as companies in Italy that invest in eligible research and development activities, regardless of the legal form and economic sector in which they operate, can benefit from a R&amp;D tax credit. Such tax credits can only be used to offset payments of certain taxes and contributions (e.g., social contributions, VAT payables, registration fees, income and withholding taxes and other tax-related items that companies usually pay monthly). During the three months ended March 31, 2026, the Company recorded $2.4 million of R&amp;D tax credit, prior to any reserve, primarily due to the release of Italy related unrecognized tax benefits and the related tax payable. We recorded a reserve for estimated credits that were not probable of being used of $1.1 million based on forecasted utilization in Italy as of March 31, 2026. The Company recognized reductions to R&amp;D expense of $0.3 million for the three months ended March 31, 2025.</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activity in the reserve for Italian research and development tax credit for the three months ended March 31, 2026 is as follows (in thousands):</w:t>
      </w:r>
    </w:p>
    <w:tbl>
      <w:tblPr>
        <w:tblW w:w="6047" w:type="dxa"/>
        <w:jc w:val="left"/>
        <w:tblInd w:w="0" w:type="dxa"/>
        <w:tblLayout w:type="fixed"/>
        <w:tblCellMar>
          <w:top w:w="28" w:type="dxa"/>
          <w:left w:w="28" w:type="dxa"/>
          <w:bottom w:w="28" w:type="dxa"/>
          <w:right w:w="28" w:type="dxa"/>
        </w:tblCellMar>
      </w:tblPr>
      <w:tblGrid>
        <w:gridCol w:w="4576"/>
        <w:gridCol w:w="315"/>
        <w:gridCol w:w="945"/>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December 31, 2025</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 for Italian research and development tax credit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March 31, 2026</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assets consisted of the following (in thousands):</w:t>
      </w:r>
    </w:p>
    <w:p>
      <w:pPr>
        <w:pStyle w:val="TextBody"/>
        <w:bidi w:val="0"/>
        <w:jc w:val="left"/>
        <w:rPr/>
      </w:pPr>
      <w:r>
        <w:rPr/>
        <w:t> </w:t>
      </w:r>
    </w:p>
    <w:tbl>
      <w:tblPr>
        <w:tblW w:w="8079" w:type="dxa"/>
        <w:jc w:val="left"/>
        <w:tblInd w:w="0" w:type="dxa"/>
        <w:tblLayout w:type="fixed"/>
        <w:tblCellMar>
          <w:top w:w="28" w:type="dxa"/>
          <w:left w:w="28" w:type="dxa"/>
          <w:bottom w:w="28" w:type="dxa"/>
          <w:right w:w="28" w:type="dxa"/>
        </w:tblCellMar>
      </w:tblPr>
      <w:tblGrid>
        <w:gridCol w:w="4636"/>
        <w:gridCol w:w="475"/>
        <w:gridCol w:w="785"/>
        <w:gridCol w:w="14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VAT receivable</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investments in Lighthouse Pharmaceuticals, Inc.</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assets</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 of the following (in thousands):</w:t>
      </w:r>
    </w:p>
    <w:p>
      <w:pPr>
        <w:pStyle w:val="TextBody"/>
        <w:bidi w:val="0"/>
        <w:spacing w:before="40" w:after="283"/>
        <w:jc w:val="left"/>
        <w:rPr/>
      </w:pPr>
      <w:r>
        <w:rPr/>
        <w:t> </w:t>
      </w:r>
    </w:p>
    <w:tbl>
      <w:tblPr>
        <w:tblW w:w="7974" w:type="dxa"/>
        <w:jc w:val="left"/>
        <w:tblInd w:w="0" w:type="dxa"/>
        <w:tblLayout w:type="fixed"/>
        <w:tblCellMar>
          <w:top w:w="28" w:type="dxa"/>
          <w:left w:w="28" w:type="dxa"/>
          <w:bottom w:w="28" w:type="dxa"/>
          <w:right w:w="28" w:type="dxa"/>
        </w:tblCellMar>
      </w:tblPr>
      <w:tblGrid>
        <w:gridCol w:w="4111"/>
        <w:gridCol w:w="340"/>
        <w:gridCol w:w="920"/>
        <w:gridCol w:w="346"/>
        <w:gridCol w:w="346"/>
        <w:gridCol w:w="403"/>
        <w:gridCol w:w="1097"/>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p>
      <w:pPr>
        <w:pStyle w:val="TextBody"/>
        <w:bidi w:val="0"/>
        <w:spacing w:before="40" w:after="283"/>
        <w:jc w:val="left"/>
        <w:rPr/>
      </w:pPr>
      <w:r>
        <w:rPr/>
        <w:t> </w:t>
      </w:r>
    </w:p>
    <w:tbl>
      <w:tblPr>
        <w:tblW w:w="7904" w:type="dxa"/>
        <w:jc w:val="left"/>
        <w:tblInd w:w="0" w:type="dxa"/>
        <w:tblLayout w:type="fixed"/>
        <w:tblCellMar>
          <w:top w:w="28" w:type="dxa"/>
          <w:left w:w="28" w:type="dxa"/>
          <w:bottom w:w="28" w:type="dxa"/>
          <w:right w:w="28" w:type="dxa"/>
        </w:tblCellMar>
      </w:tblPr>
      <w:tblGrid>
        <w:gridCol w:w="4461"/>
        <w:gridCol w:w="340"/>
        <w:gridCol w:w="920"/>
        <w:gridCol w:w="146"/>
        <w:gridCol w:w="146"/>
        <w:gridCol w:w="357"/>
        <w:gridCol w:w="1143"/>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expenses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the Company entered into settlement agreements with vendors pursuant to which they relinquished amounts owed by the Company. This resulted in a $2.6 million gain on settlement of accounts payable, which is reflected in the condensed consolidated statements of operations and comprehensive income (loss) within research and development.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and 2025, the severance accrual activity was as follows (in thousands):</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2806"/>
        <w:gridCol w:w="352"/>
        <w:gridCol w:w="1054"/>
        <w:gridCol w:w="277"/>
        <w:gridCol w:w="244"/>
        <w:gridCol w:w="352"/>
        <w:gridCol w:w="703"/>
        <w:gridCol w:w="211"/>
      </w:tblGrid>
      <w:tr>
        <w:trPr/>
        <w:tc>
          <w:tcPr>
            <w:tcW w:w="280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4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5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accrued severance</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Incurred during the period</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paid during the period</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accrued severance</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three months ended March 31, 2026 and 2025, the Company incurred severance costs related to personnel separation, reflecting payments made and accrued to departing employees.</w:t>
      </w:r>
    </w:p>
    <w:p>
      <w:pPr>
        <w:pStyle w:val="TextBody"/>
        <w:bidi w:val="0"/>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Other Long-Term Liabilities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long-term liabilities consist of the following (in thousands):</w:t>
      </w:r>
    </w:p>
    <w:p>
      <w:pPr>
        <w:pStyle w:val="TextBody"/>
        <w:bidi w:val="0"/>
        <w:jc w:val="left"/>
        <w:rPr/>
      </w:pPr>
      <w:r>
        <w:rPr/>
        <w:t> </w:t>
      </w:r>
    </w:p>
    <w:tbl>
      <w:tblPr>
        <w:tblW w:w="6084" w:type="dxa"/>
        <w:jc w:val="left"/>
        <w:tblInd w:w="0" w:type="dxa"/>
        <w:tblLayout w:type="fixed"/>
        <w:tblCellMar>
          <w:top w:w="28" w:type="dxa"/>
          <w:left w:w="28" w:type="dxa"/>
          <w:bottom w:w="28" w:type="dxa"/>
          <w:right w:w="28" w:type="dxa"/>
        </w:tblCellMar>
      </w:tblPr>
      <w:tblGrid>
        <w:gridCol w:w="2641"/>
        <w:gridCol w:w="340"/>
        <w:gridCol w:w="920"/>
        <w:gridCol w:w="146"/>
        <w:gridCol w:w="146"/>
        <w:gridCol w:w="403"/>
        <w:gridCol w:w="1097"/>
        <w:gridCol w:w="391"/>
      </w:tblGrid>
      <w:tr>
        <w:trPr/>
        <w:tc>
          <w:tcPr>
            <w:tcW w:w="264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taxes payable</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taxes payable</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1" w:name="section17"/>
      <w:bookmarkEnd w:id="11"/>
      <w:r>
        <w:rPr>
          <w:rFonts w:ascii="Times New Roman" w:hAnsi="Times New Roman"/>
          <w:b/>
          <w:color w:val="000000"/>
          <w:sz w:val="20"/>
        </w:rPr>
        <w:t>Note 6.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2024, the Medolla Lease Agreement for the office space was renegotiated. The new Medolla Lease Agreement includes an additional space and commenced on February 1, 2024, and will end on January 31, 2030, substituting the Medolla Lease Agreement commenced in June 2018.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lease expense on a straight-line basis over the term of its operating lease. During the three months ended March 31, 2026, the Company recorded lease expense of $37 thousand. During the three months ended March 31, 2025, the Company recorded lease expense of $35 thousand.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balance sheet information related to leases as follows (in thousands except lease terms and discount rates):</w:t>
      </w:r>
    </w:p>
    <w:p>
      <w:pPr>
        <w:pStyle w:val="TextBody"/>
        <w:bidi w:val="0"/>
        <w:jc w:val="left"/>
        <w:rPr/>
      </w:pPr>
      <w:r>
        <w:rPr/>
        <w:t> </w:t>
      </w:r>
    </w:p>
    <w:tbl>
      <w:tblPr>
        <w:tblW w:w="6955" w:type="dxa"/>
        <w:jc w:val="left"/>
        <w:tblInd w:w="0" w:type="dxa"/>
        <w:tblLayout w:type="fixed"/>
        <w:tblCellMar>
          <w:top w:w="28" w:type="dxa"/>
          <w:left w:w="28" w:type="dxa"/>
          <w:bottom w:w="28" w:type="dxa"/>
          <w:right w:w="28" w:type="dxa"/>
        </w:tblCellMar>
      </w:tblPr>
      <w:tblGrid>
        <w:gridCol w:w="3316"/>
        <w:gridCol w:w="146"/>
        <w:gridCol w:w="393"/>
        <w:gridCol w:w="867"/>
        <w:gridCol w:w="271"/>
        <w:gridCol w:w="146"/>
        <w:gridCol w:w="467"/>
        <w:gridCol w:w="1033"/>
        <w:gridCol w:w="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 of use asset,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 years</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under lease agreements as of March 31, 2026, were as follows (in thousands):</w:t>
      </w:r>
    </w:p>
    <w:p>
      <w:pPr>
        <w:pStyle w:val="TextBody"/>
        <w:bidi w:val="0"/>
        <w:jc w:val="left"/>
        <w:rPr/>
      </w:pPr>
      <w:r>
        <w:rPr/>
        <w:t> </w:t>
      </w:r>
    </w:p>
    <w:tbl>
      <w:tblPr>
        <w:tblW w:w="3570" w:type="dxa"/>
        <w:jc w:val="left"/>
        <w:tblInd w:w="0" w:type="dxa"/>
        <w:tblLayout w:type="fixed"/>
        <w:tblCellMar>
          <w:top w:w="28" w:type="dxa"/>
          <w:left w:w="28" w:type="dxa"/>
          <w:bottom w:w="28" w:type="dxa"/>
          <w:right w:w="28" w:type="dxa"/>
        </w:tblCellMar>
      </w:tblPr>
      <w:tblGrid>
        <w:gridCol w:w="2581"/>
        <w:gridCol w:w="146"/>
        <w:gridCol w:w="211"/>
        <w:gridCol w:w="421"/>
        <w:gridCol w:w="21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(remainder of the year)</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AEEFB"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11"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1" w:type="dxa"/>
            <w:tcBorders/>
            <w:shd w:fill="CAEEFB"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remaining lease liability</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1"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acquisition of EryDel on October 20, 2023, the Company became a guarantor in respect of the EIB Loan. The EIB Loan was amended and restated as of the acquisition date. The EIB Loan provides for maximum borrowings of 30.0 million euro through four tranches; tranche A, 3.0 million euro; tranche B, 7.0 million euro; tranche C, 10.0 million euro; and tranche D, 10.0 million euro. Each tranche is subject to conditions precedent related to the Company’s business and capitalization. Only tranches A and B were drawn. All amounts due under tranche A and B were payable on their maturity date of August 2026. Interest accrued at fixed rates for each tranche and was payable on the maturity date for each Tranche (with the exception of 2% cash interest which was accrued and payable quarterly during fiscal year 2025 pursuant to the terms of the Amendment, which correspondingly reduced the deferred interest rate accruing during such period). The fixed rates ranged from 7.0% to 9.0% per annum.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the Company paid 25 thousand euros ($29 thousand) in interest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elected to account for the EIB Loan at fair value, which requires the EIB Loan to be recorded at fair value at issuance and at the end of each reporting period. Gains or losses upon remeasurement are to be recorded in other income (expense), net in the condensed consolidated statements of operations and comprehensive income (loss). The Company presents separately in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income (loss) the portion of the total change in the fair value of the EIB Loan that results from a change in instrument-specific credit risk. The EIB Loan’s fair value at the date it was assumed adjusted its carrying value based on using a discounted cash flow analysis with a discount rate based on a yield curve that was adjusted for credit rating.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2026, the EIB agreed to a full settlement of all obligations associated with the loan with a single payment of 4.8 million euros ($5.5 million) which was paid on March 30,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Stockholders’ Equity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4, 2025, the Company’s shareholders approved an amendment to the Company’s certificate of incorporation to increase the total number of authorized shares of Common Stock from 100,000,000 to 250,000,000. The reverse stock split did not affect the number of authorized shares of common stock or the par value of the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18, 2024,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and H.C. Wainwright &amp; Co., LLC, or the Agents, relating to the sale of shares of the Company's common stock, par value $0.001 per share. In accordance with the terms of this agreement, the Company may offer and sell up to $75.0 million of shares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utilized its ATM program to raise net proceeds of approximately $15.0 million by issuing 8,018,500 shares of common stock. As of March 31, 2026, $53.1 million remained available to be sold under the ATM program. See Note 15 for discussion of subsequent events related to the ATM program.</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June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2025, the Company entered into a Securities Purchase Agreement (the “Securities Purchase Agreement”), with certain institutional investors (the “Investors”) and certain members of the Company’s management (together with the Investors, the “Purchasers”) pursuant to which the Company issued and sold to the Purchasers in a private placement (“June 2025 Private Placement”): (i) 667,192 shares (the “Shares”) of its common stock, as adjusted for the Reverse Stock Split, par value $0.001 per share (the “Common Stock”), (ii) pre-funded warrants (the “Pre-Funded Warrants”) to purchase up to an aggregate of 200,000 shares of Common Stock, as adjusted for the Reverse Stock Split, and (iii) accompanying warrants to purchase up to an aggregate of 867,192 shares of Common Stock (the “Common Warrants”), as adjusted for the Reverse Stock Split, for aggregate gross proceeds of approximately $11.5 million (excluding up to approximately $10.4 million of aggregate gross proceeds that may be received in the future upon the cash exercise in full of the Common Warrants issued in the Private Placement), before deducting placement agent fees and other expenses payable by the Company.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Warrants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 Issued with June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June 12, 2025, in connection with the sale and issuance of common stock as part of the June 2025 Private Placement, the Company issued Pre-Funded Warrants to purchase up to an aggregate of 200,000 shares of Common Stock at an exercise price of $0.01 per share, as adjusted for the Reverse Stock Split, and Common Warrants to purchase up to an aggregate of 867,192 shares of Common Stock at an exercise price of $12.00 per share, as adjusted for the Reverse Stock Split. Each Share and each Pre-Funded Warrant sold pursuant to the Securities Purchase Agreement was accompanied by one Common Warrant. The combined purchase price of each Share and accompanying Common Warrant was $13.25 (which included $1.25 per Common Warrant in accordance with the rules and regulations of Nasdaq), as adjusted for the Reverse Stock Split. The combined purchase price of each Pre-Funded Warrant and accompanying Common Warrant was $13.24 (equal to the combined purchase price per Share and accompanying Common Warrant,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minus $0.01).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Common Warrants can be exercised into either common stock or Pre-Funded Warrants at the holders' option, and both Common Warrants and Pre-Funded Warrants contain purchase rights that could result in holders receiving securities that more than offsets or neutralizes the effect of a distribution event. As a result of the aforementioned provisions, both Common Warrants and Pre-Funded Warrants fail the indexation guidance under ASC 815 and are classified as liabilities. The Pre-Funded Warrants and Common Warrants liabilities were recorded at fair value as of the issuance date and March 31, 2026, and subject to adjustment to estimated fair value at each balance sheet date until the warrants are settled.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proceeds from June 2025 Private Placement were first allocated to the full fair value of the Pre-Funded Warrants and Common Warrants due to the liability classification. The fair value of the Pre-Funded Warrants and Common Warrants at issuance was $10.7 million. The remaining proceeds of $0.8 million, before issuance costs, were allocated to the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2026, the Company recognized a fair value gain of $31.1 million related to the warrants.</w:t>
      </w:r>
    </w:p>
    <w:p>
      <w:pPr>
        <w:pStyle w:val="TextBody"/>
        <w:bidi w:val="0"/>
        <w:spacing w:before="240" w:after="240"/>
        <w:jc w:val="left"/>
        <w:rPr>
          <w:rFonts w:ascii="Times New Roman" w:hAnsi="Times New Roman"/>
          <w:sz w:val="20"/>
        </w:rPr>
      </w:pPr>
      <w:r>
        <w:rPr>
          <w:rFonts w:ascii="Times New Roman" w:hAnsi="Times New Roman"/>
          <w:color w:val="000000"/>
          <w:sz w:val="20"/>
        </w:rPr>
        <w:t>On January 29, 2026, all 200,000 shares of the Pre-Funded Warrants were exercised through a cashless exercise into 199,765 shares of the Company's Common Stock, as adjusted for the Reverse Stock Split. All of the Common Warrants issued in connection with the June 2025 Private Placement remained outstanding as of March 31, 2026. The following table is a summary of the Company’s warrants outstanding as o</w:t>
      </w:r>
      <w:r>
        <w:rPr>
          <w:rFonts w:ascii="Times New Roman" w:hAnsi="Times New Roman"/>
          <w:color w:val="000000"/>
          <w:sz w:val="18"/>
        </w:rPr>
        <w:t>f</w:t>
      </w:r>
      <w:r>
        <w:rPr>
          <w:rFonts w:ascii="Times New Roman" w:hAnsi="Times New Roman"/>
          <w:color w:val="000000"/>
          <w:sz w:val="20"/>
        </w:rPr>
        <w:t xml:space="preserve"> March 31, 2026, as adjusted for the Reverse Stock Split</w:t>
      </w:r>
      <w:r>
        <w:rPr>
          <w:rFonts w:ascii="Times New Roman" w:hAnsi="Times New Roman"/>
          <w:color w:val="000000"/>
          <w:sz w:val="18"/>
        </w:rPr>
        <w:t>:</w:t>
      </w:r>
    </w:p>
    <w:tbl>
      <w:tblPr>
        <w:tblW w:w="6417" w:type="dxa"/>
        <w:jc w:val="left"/>
        <w:tblInd w:w="0" w:type="dxa"/>
        <w:tblLayout w:type="fixed"/>
        <w:tblCellMar>
          <w:top w:w="28" w:type="dxa"/>
          <w:left w:w="28" w:type="dxa"/>
          <w:bottom w:w="28" w:type="dxa"/>
          <w:right w:w="28" w:type="dxa"/>
        </w:tblCellMar>
      </w:tblPr>
      <w:tblGrid>
        <w:gridCol w:w="1636"/>
        <w:gridCol w:w="146"/>
        <w:gridCol w:w="295"/>
        <w:gridCol w:w="1580"/>
        <w:gridCol w:w="146"/>
        <w:gridCol w:w="146"/>
        <w:gridCol w:w="238"/>
        <w:gridCol w:w="647"/>
        <w:gridCol w:w="146"/>
        <w:gridCol w:w="146"/>
        <w:gridCol w:w="12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Number of Common </w:t>
              <w:br/>
              <w:t>Stock Issuable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Exercise </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Expiration </w:t>
              <w:br/>
              <w:t>Date</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June 12, 2030</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Stock-Based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three stock-based compensation plans as of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2019 Equity Incentive Plan (Quince)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2019 Equity Incentive Plan (Novosteo)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2022 Inducement Plan (Quince)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 (Quince)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4, 2014, the Company’s stockholders approved the 2014 Stock Plan (“2014 Plan”), and on April 25, 2019 amended, restated and re-named the 2014 Plan as the 2019 Equity Incentive Plan (the “Quince 2019 Plan”), which became effective as of May 7, 2019, the day prior to the effectiveness of the registration statement filed in connection with the IPO. The remaining shares available for issuance under the 2014 Plan were added to the shares reserved for issuance under the Quince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Quince 2019 Plan provides for the grant of stock options (including incentive stock options and non-qualified stock options), stock appreciation rights, restricted stock, RSUs, performance units, and performance shares to the Company’s employees, directors, and consultants. As of March 31, 2026, the maximum aggregate number of shares that may be issued under the Quince 2019 Plan is 1,351,548 shares of the Company’s common stock, as adjusted for the Reverse Stock Split. In addition, the number of shares available for issuance under the Quince 2019 Plan will be annually increased on the first day of each fiscal years beginning with fiscal 2020, by an amount equal to the least of (i) 214,635 shares of common stock (as adjusted for the Reverse Stock Split); (ii) 4% of the outstanding shares of its common stock as of the last day of its immediately preceding fiscal year; and (iii) such other amount as the Board of Directors may determine.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Quince 2019 Plan may be amended, suspended or terminated by the Board of Directors at any time, provided such action does not impair the existing rights of any participant, subject to stockholder approval of any amendment to the Quince 2019 Plan as required by applicable law or listing requirements. Unless sooner terminated by the Company's Board of Directors, the Quince 2019 Plan will automatically terminate on April 23,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Company had 75,376 shares available for future issuance under the Quince 2019 Plan, as adjusted for the Reverse Stock Split.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under the Quince 2019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Quince 2019 Plan is as follows, as adjusted for the Reverse Stock Split: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3"/>
        <w:gridCol w:w="146"/>
        <w:gridCol w:w="146"/>
        <w:gridCol w:w="931"/>
        <w:gridCol w:w="166"/>
        <w:gridCol w:w="146"/>
        <w:gridCol w:w="291"/>
        <w:gridCol w:w="794"/>
        <w:gridCol w:w="146"/>
        <w:gridCol w:w="146"/>
        <w:gridCol w:w="225"/>
        <w:gridCol w:w="721"/>
        <w:gridCol w:w="146"/>
        <w:gridCol w:w="146"/>
        <w:gridCol w:w="263"/>
        <w:gridCol w:w="846"/>
        <w:gridCol w:w="393"/>
      </w:tblGrid>
      <w:tr>
        <w:trPr/>
        <w:tc>
          <w:tcPr>
            <w:tcW w:w="4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1,029,955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18,856</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5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1,276,322</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5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581,761</w:t>
            </w:r>
          </w:p>
        </w:tc>
        <w:tc>
          <w:tcPr>
            <w:tcW w:w="16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the Company recognized stock-based compensation expense of $0.9 million related to options granted to employees and non-employees. For the three months ended March 31, 2025, the Company recognized stock-based compensation expense of $0.9 million related to options granted to employees and non-employees. The compensation expense is allocated on a departmental basis, based on the classification of the option holder. No income tax benefits have been recognized in the consolidated statement of operations and comprehensive loss for stock-based compensation arrangements. As of March 31, 2026, total unamortized employee stock-based compensation was $9.3 million, which is expected to be recognized over the remaining estimated vesting period of 2.1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in connection with the separation of employees as part of our restructuring activities, the Company extended the post-termination exercise window from 90 days to five years for separated employees and for those with consulting agreements allowed awards to continue vesting through term of the agreements. The Company recorded stock-based compensation expense related to the modification of these awards of $0.1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 (Novosteo)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19, 2022, in accordance with the terms of Agreement and Plan of Merger and Reorganization between the Company, Novosteo, Inc., and the other parties thereto, the Company assumed the 2019 Novosteo, Inc. Equity Incentive Plan (the "2019 Novosteo Plan"). The 2019 Novosteo Plan provides for the grant of stock options (including incentive stock options and non-qualified stock options), stock appreciation rights, restricted stock, RSUs, performance units, and performance shares to the Novosteo legacy employees. On the closing date, each outstanding Novosteo stock option granted under Novosteo’s equity compensation plans was converted into a corresponding stock option with the number of shares underlying such option and the applicable exercise price adjusted based on the exchange ratio of 0.0911. Each such converted stock option continues to be subject to substantially the same terms and conditions as applied to the corresponding Novosteo stock option prior to the Acquisition. The maximum aggregate number of shares that may be issued under the 2019 Novosteo Plan is 54,498 shares of the Company’s common stock, as adjusted for the Reverse Stock Split.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2019 Novosteo Plan may be amended, suspended or terminated by the Board of Directors at any time, provided such action does not impair the existing rights of any participant, subject to stockholder approval of any amendment to the 2019 Novosteo Plan as required by applicable law or listing requirements. Unless sooner terminated by the Board of Directors, the 2019 Novosteo Plan will automatically terminate on May 20, 2029.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options under the 2019 Novosteo Plan may be granted for periods of up to 10 years and at prices no less than 100% of the fair market value of the shares on the date of grant. If, at the time of grant, the optionee directly owns stocks representing more than 10% of the voting power of all our outstanding capital stock, the exercise price for these options must be at least 110% of the fair value of the underlying common stock. Stock options granted to employees and non-employees generally have a maximum term of ten years and vest over four years from the vesting commencement date, of which 25% vest on the one-year anniversary of the vesting commencement date, and 75% vest in equal monthly installments over the remaining three years or monthly vesting over 3 to 4 years. We may grant options with different vesting terms from time to time. Unless an employee's or non-employee's termination is due to cause, disability or death, upon termination of service, any unexercised vested options will be forfeited at the end of the three months from the termination date or expiration of the option, whichever is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Company had 24,680 shares available for future issuance under the 2019 Novosteo Plan, as adjusted for the Reverse Stock Split.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2019 Novosteo Plan is as follows, as adjusted for the Reverse Stock Split: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8"/>
        <w:gridCol w:w="146"/>
        <w:gridCol w:w="175"/>
        <w:gridCol w:w="811"/>
        <w:gridCol w:w="146"/>
        <w:gridCol w:w="146"/>
        <w:gridCol w:w="248"/>
        <w:gridCol w:w="548"/>
        <w:gridCol w:w="146"/>
        <w:gridCol w:w="146"/>
        <w:gridCol w:w="225"/>
        <w:gridCol w:w="721"/>
        <w:gridCol w:w="146"/>
        <w:gridCol w:w="146"/>
        <w:gridCol w:w="377"/>
        <w:gridCol w:w="757"/>
        <w:gridCol w:w="393"/>
      </w:tblGrid>
      <w:tr>
        <w:trPr/>
        <w:tc>
          <w:tcPr>
            <w:tcW w:w="4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16,155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8"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three months ended March 31, 2026, the Company recognized stock-based compensation expense of $44 thousand related to options granted to employees and non-employees for the 2019 Novosteo Plan. For the three months ended March 31, 2025, the Company recognized stock-based compensation expense of $49 thousand, respectively, related to options granted to employees and non-employees for the 2019 Novosteo Plan. The compensation expense is allocated on a departmental basis, based on the classification of the option holder. No income tax benefits have been recognized in the condensed consolidated statement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operations and comprehensive loss for stock-based compensation arrangements. As of March 31, 2026, there was no total unamortized employee stock-based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was no restricted stock awards activity during the three months ended March 31,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the Company recognized no stock-based compensation expense related to restricted stock awards. For the three months ended March 31, 2025, the Company recognized stock-based compensation expense of $79 thousand related to restricted stock awards. The compensation expense is allocated on a departmental basis, based on the classification of the award holder. No income tax benefits have been recognized in the condensed consolidated statement of operations and comprehensive loss for stock-based compensation arrangements. The fair value of vested restricted stock awards was $0.1 million for the three months ended March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2022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9, 2022, the Company's Board of Directors approved 400,000 shares of common stock, as adjusted for the Reverse Stock Split, that may be offered or issued under the Quince Therapeutics, Inc. 2022 Inducement Plan (the "2022 Inducement Plan"). The 2022 Inducement Plan was adopted by the independent members of the Board of Directors without stockholder approval pursuant to Rule 5635(c)(4) of the Nasdaq Listing Rules (“Nasdaq Rule 5635(c)(4)”). In accordance with Nasdaq Rule 5635(c)(4), awards under those plans may only be made to an employee who has not previously been an employee or member of the Board of Directors or of any board of directors of any parent or subsidiary of the Company,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 The terms and conditions of the 2022 Inducement Plan are substantially similar to those of the Quince 2019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under the 2022 Inducement Plan may be granted for periods of up to 10 years at prices no less than 100% of the fair market value of the shares on the date of grant. Options granted to employees may have different performance goals or other vesting provisions (including continued employment) in accordance with the applicable award agreement. Unless an employee's termination service is due to disability or death, upon termination of service, any unexercised vested options will be forfeited at the end of the three months from the date of termination or expiration of the option, whichever is earlier.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Company had 166,669 shares available for future issuance under the 2022 Inducement Plan, as adjusted for the Reverse Stock Split.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Activity for service-based stock options under the 2022 Inducement Plan is as follows, as adjusted for the Reverse Stock Split: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6"/>
        <w:gridCol w:w="146"/>
        <w:gridCol w:w="155"/>
        <w:gridCol w:w="832"/>
        <w:gridCol w:w="146"/>
        <w:gridCol w:w="146"/>
        <w:gridCol w:w="214"/>
        <w:gridCol w:w="582"/>
        <w:gridCol w:w="146"/>
        <w:gridCol w:w="146"/>
        <w:gridCol w:w="225"/>
        <w:gridCol w:w="721"/>
        <w:gridCol w:w="146"/>
        <w:gridCol w:w="146"/>
        <w:gridCol w:w="291"/>
        <w:gridCol w:w="843"/>
        <w:gridCol w:w="394"/>
      </w:tblGrid>
      <w:tr>
        <w:trPr/>
        <w:tc>
          <w:tcPr>
            <w:tcW w:w="4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 and</w:t>
              <w:br/>
              <w:t>Unvested</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233,330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cancelled / 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233,330</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vested and expected to vest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26"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exercisable as of March 31, 2026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223,608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months ended March 31, 2026, the Company recognized stock-based compensation expense of $0.3 million related to options granted to employees for the 2022 Inducement Plan. For the three months ended March 31, 2025, the Company recognized stock-based compensation expense of $0.3 million related to options granted to employees for the 2022 Inducement Plan. The compensation expense is allocated on a departmental basis, based on the classification of the option holder. No income tax benefits have been recognized in the condensed consolidated statement of operations and comprehensive loss for stock-based compensation arrangements. As of March 31, 2026, total unamortized employee stock-based compensation was $0.2 million, which is expected to be recognized over the remaining estimated vesting period of 0.15 years.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employee and non-employee stock-based compensation expense for the three months ended March 31, 2026 and 2025 and the allocation within the condensed consolidated statements of operations and comprehensive loss (in thousands):</w:t>
      </w:r>
    </w:p>
    <w:p>
      <w:pPr>
        <w:pStyle w:val="TextBody"/>
        <w:bidi w:val="0"/>
        <w:jc w:val="left"/>
        <w:rPr/>
      </w:pPr>
      <w:r>
        <w:rPr/>
        <w:t> </w:t>
      </w:r>
    </w:p>
    <w:tbl>
      <w:tblPr>
        <w:tblW w:w="5749" w:type="dxa"/>
        <w:jc w:val="left"/>
        <w:tblInd w:w="0" w:type="dxa"/>
        <w:tblLayout w:type="fixed"/>
        <w:tblCellMar>
          <w:top w:w="28" w:type="dxa"/>
          <w:left w:w="28" w:type="dxa"/>
          <w:bottom w:w="28" w:type="dxa"/>
          <w:right w:w="28" w:type="dxa"/>
        </w:tblCellMar>
      </w:tblPr>
      <w:tblGrid>
        <w:gridCol w:w="3016"/>
        <w:gridCol w:w="146"/>
        <w:gridCol w:w="272"/>
        <w:gridCol w:w="738"/>
        <w:gridCol w:w="188"/>
        <w:gridCol w:w="188"/>
        <w:gridCol w:w="272"/>
        <w:gridCol w:w="738"/>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11.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considering all available positive and negative evidence, including cumulative losses, the Company concluded that it remains more likely than not that its net deferred tax assets will not be realized. Accordingly, the Company maintains a full valuation allowance against its net deferred tax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an income tax benefit of $5.3 million for the three months ended March 31, 2026, primarily related to the release of uncertain tax position liabilities associated with intellectual property sales made in prior periods. The release resulted from changes in facts and circumstances impacting the more likely than not position to be assessed by the relevant tax authorities during the quarter ended March 31, 2026. This benefit was partially offset by current-period Italian income tax expense. The primary differences between the Company’s effective tax rate and the U.S. federal statutory tax rate were the change in valuation allowance and the discrete release of uncertain tax position liabilities. The Company recorded $47 thousand of tax expense for the three months ended March 31, 2025 primarily related to foreign withholding tax and interest on the uncertain tax position liability.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12. Net Income (Loss) Per Share</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Basic net income (loss) per common share is determined by dividing the net income (loss) by the weighted-average common shares outstanding during the period. Diluted net income (loss) includes the effect, if any, from potential exercises of conversion of securities, such as stock options and warrants, which could result in the issuance of incremental shares of common stock. However, potential common shares are excluded if their effect is anti-dilutive. All warrants are participating in securities, as they participate on a one-for-one basis with common stock in earnings of the Company, if and when declared by the Board of Directors. For the purposes of computing earnings per share, the warrants are considered to participate with common stock in earnings of the Company. Therefore, the Company computes earnings per share using the two-class method, an earnings allocation method that determines net income (loss) per share (when there are earnings) for common stock and participating securities. Diluted earnings per share for the Company’s common stock is computed using the more dilutive of the two-class method or the treasury stock method.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following table sets forth the calculation of basic and diluted net income (loss) per share during the periods presented (in thousands, except share amounts, as adjusted for the Reserve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40" w:after="283"/>
        <w:jc w:val="left"/>
        <w:rPr/>
      </w:pPr>
      <w:r>
        <w:rPr/>
        <w:t> </w:t>
      </w:r>
    </w:p>
    <w:tbl>
      <w:tblPr>
        <w:tblW w:w="8524" w:type="dxa"/>
        <w:jc w:val="left"/>
        <w:tblInd w:w="0" w:type="dxa"/>
        <w:tblLayout w:type="fixed"/>
        <w:tblCellMar>
          <w:top w:w="28" w:type="dxa"/>
          <w:left w:w="28" w:type="dxa"/>
          <w:bottom w:w="28" w:type="dxa"/>
          <w:right w:w="28" w:type="dxa"/>
        </w:tblCellMar>
      </w:tblPr>
      <w:tblGrid>
        <w:gridCol w:w="5371"/>
        <w:gridCol w:w="146"/>
        <w:gridCol w:w="211"/>
        <w:gridCol w:w="931"/>
        <w:gridCol w:w="166"/>
        <w:gridCol w:w="146"/>
        <w:gridCol w:w="211"/>
        <w:gridCol w:w="931"/>
        <w:gridCol w:w="41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Undistributed earnings allocated to participating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4,394,119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potentially dilutive shares have been excluded from the calculation of diluted net income (loss) per share for the periods presented because including them would have been antidilutive, as adjusted for the Reverse Stock Split:</w:t>
      </w:r>
    </w:p>
    <w:p>
      <w:pPr>
        <w:pStyle w:val="TextBody"/>
        <w:bidi w:val="0"/>
        <w:jc w:val="left"/>
        <w:rPr/>
      </w:pPr>
      <w:r>
        <w:rPr/>
        <w:t> </w:t>
      </w:r>
    </w:p>
    <w:tbl>
      <w:tblPr>
        <w:tblW w:w="6149" w:type="dxa"/>
        <w:jc w:val="left"/>
        <w:tblInd w:w="0" w:type="dxa"/>
        <w:tblLayout w:type="fixed"/>
        <w:tblCellMar>
          <w:top w:w="28" w:type="dxa"/>
          <w:left w:w="28" w:type="dxa"/>
          <w:bottom w:w="28" w:type="dxa"/>
          <w:right w:w="28" w:type="dxa"/>
        </w:tblCellMar>
      </w:tblPr>
      <w:tblGrid>
        <w:gridCol w:w="3166"/>
        <w:gridCol w:w="146"/>
        <w:gridCol w:w="146"/>
        <w:gridCol w:w="931"/>
        <w:gridCol w:w="146"/>
        <w:gridCol w:w="146"/>
        <w:gridCol w:w="146"/>
        <w:gridCol w:w="931"/>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1,509,652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1,283,632</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867,193</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2,376,845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Intangible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EryDel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details of the carrying amount of the Company's indefinite-lived intangible asset (in thousands):</w:t>
      </w:r>
    </w:p>
    <w:p>
      <w:pPr>
        <w:pStyle w:val="TextBody"/>
        <w:bidi w:val="0"/>
        <w:jc w:val="left"/>
        <w:rPr/>
      </w:pPr>
      <w:r>
        <w:rPr/>
        <w:t> </w:t>
      </w:r>
    </w:p>
    <w:tbl>
      <w:tblPr>
        <w:tblW w:w="4651" w:type="dxa"/>
        <w:jc w:val="left"/>
        <w:tblInd w:w="0" w:type="dxa"/>
        <w:tblLayout w:type="fixed"/>
        <w:tblCellMar>
          <w:top w:w="28" w:type="dxa"/>
          <w:left w:w="28" w:type="dxa"/>
          <w:bottom w:w="28" w:type="dxa"/>
          <w:right w:w="28" w:type="dxa"/>
        </w:tblCellMar>
      </w:tblPr>
      <w:tblGrid>
        <w:gridCol w:w="171"/>
        <w:gridCol w:w="2994"/>
        <w:gridCol w:w="284"/>
        <w:gridCol w:w="991"/>
        <w:gridCol w:w="211"/>
      </w:tblGrid>
      <w:tr>
        <w:trPr/>
        <w:tc>
          <w:tcPr>
            <w:tcW w:w="171"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In-process research and development:</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(67,361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March 31, 2026</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details of the carrying amount of the Company's finite-lived intangible asset (in thousands, except useful life):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347"/>
        <w:gridCol w:w="799"/>
        <w:gridCol w:w="146"/>
        <w:gridCol w:w="211"/>
        <w:gridCol w:w="421"/>
        <w:gridCol w:w="146"/>
        <w:gridCol w:w="146"/>
        <w:gridCol w:w="384"/>
        <w:gridCol w:w="992"/>
        <w:gridCol w:w="166"/>
        <w:gridCol w:w="146"/>
        <w:gridCol w:w="304"/>
        <w:gridCol w:w="695"/>
        <w:gridCol w:w="166"/>
        <w:gridCol w:w="146"/>
        <w:gridCol w:w="211"/>
        <w:gridCol w:w="421"/>
        <w:gridCol w:w="146"/>
        <w:gridCol w:w="146"/>
        <w:gridCol w:w="384"/>
        <w:gridCol w:w="992"/>
        <w:gridCol w:w="166"/>
        <w:gridCol w:w="146"/>
        <w:gridCol w:w="332"/>
        <w:gridCol w:w="667"/>
        <w:gridCol w:w="218"/>
      </w:tblGrid>
      <w:tr>
        <w:trPr/>
        <w:tc>
          <w:tcPr>
            <w:tcW w:w="16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1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Net Carrying Value</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8"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 life intangible assets:</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adjustments</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charges</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2026, the Company ceased clinical development of eDSP as the primary and secondary endpoints did not achieve statistical significance in its Phase 3 NEAT clinical trial (See Note 1). As a result, several of the assumptions used in determining the initial fair value have changed including expected cash flows and thus triggered the need for an interim impairment assessment as required under ASC 350. As a result, the fair value was determined to be significantly below its carrying value and the Company recognized a total impairment charge of $67.8 million for for indefinite and finite-lived intangible assets the three months ended March 31,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14.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operates as one operating and reportable segment, which has been the business of developing and commercializing the Company's proprietary AIDE technology platform. The key factors used to identify the reportable segments are the organization of its business and alignment of the Company's internal operations and the nature of our AIDE technology. Operating segments are defined as components of an enterprise for which discrete financial information is available and is evaluated regularly by the CODM, in deciding how to allocate resources and assess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Chief Executive Officer, who is the CODM, reviews financial information on a consolidated basis for purposes of allocating and evaluating financial performance. The CODM evaluates the Company’s performance and resource allocation by analyzing consolidated net income (loss), as reported on the condensed consolidated statement of operations and comprehensive income (loss). This assessment involves comparing net income (loss) across prior periods, the Company's forecast, and total expenditures related to eDSP product development and the Phase 3 NEAT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measure of segment assets reviewed by the CODM is the consolidated total assets, as reported on the condensed consolidated balance sheets. The following table presents the measure of segment assets regularly provided to the CODM (in thousands):</w:t>
      </w:r>
    </w:p>
    <w:p>
      <w:pPr>
        <w:pStyle w:val="TextBody"/>
        <w:bidi w:val="0"/>
        <w:jc w:val="left"/>
        <w:rPr/>
      </w:pPr>
      <w:r>
        <w:rPr/>
        <w:t> </w:t>
      </w:r>
    </w:p>
    <w:tbl>
      <w:tblPr>
        <w:tblW w:w="7590" w:type="dxa"/>
        <w:jc w:val="left"/>
        <w:tblInd w:w="0" w:type="dxa"/>
        <w:tblLayout w:type="fixed"/>
        <w:tblCellMar>
          <w:top w:w="28" w:type="dxa"/>
          <w:left w:w="28" w:type="dxa"/>
          <w:bottom w:w="28" w:type="dxa"/>
          <w:right w:w="28" w:type="dxa"/>
        </w:tblCellMar>
      </w:tblPr>
      <w:tblGrid>
        <w:gridCol w:w="4201"/>
        <w:gridCol w:w="146"/>
        <w:gridCol w:w="223"/>
        <w:gridCol w:w="1037"/>
        <w:gridCol w:w="146"/>
        <w:gridCol w:w="146"/>
        <w:gridCol w:w="265"/>
        <w:gridCol w:w="1235"/>
        <w:gridCol w:w="1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short-term investments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18,163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financial information, including significant segment expenses, which are regularly provided to the CODM and included within condensed consolidated statements of operations and comprehensive income (loss) (in thousands):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tbl>
      <w:tblPr>
        <w:tblW w:w="7266" w:type="dxa"/>
        <w:jc w:val="left"/>
        <w:tblInd w:w="0" w:type="dxa"/>
        <w:tblLayout w:type="fixed"/>
        <w:tblCellMar>
          <w:top w:w="28" w:type="dxa"/>
          <w:left w:w="28" w:type="dxa"/>
          <w:bottom w:w="28" w:type="dxa"/>
          <w:right w:w="28" w:type="dxa"/>
        </w:tblCellMar>
      </w:tblPr>
      <w:tblGrid>
        <w:gridCol w:w="4231"/>
        <w:gridCol w:w="146"/>
        <w:gridCol w:w="229"/>
        <w:gridCol w:w="801"/>
        <w:gridCol w:w="180"/>
        <w:gridCol w:w="158"/>
        <w:gridCol w:w="229"/>
        <w:gridCol w:w="801"/>
        <w:gridCol w:w="49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Clinical and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Consulting and professional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impairment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segment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segment items within net income (loss) include interest income, other income (expense), net, and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long-lived assets consist primarily of property, plant and equipment, net, and operating lease right-of-use assets are maintained in Italy. As of March 31, 2026 and December 31, 2025, no individual country other than the U.S. accounted for 10% or more of these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Subsequent Events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March 31, 2026, and through the issuance of these financial statements, the Company raised net proceeds of approximately $5.4 million by issuing 2,510,000 shares of common stock under the ATM program, with approximately $47.5 million remaining subject to available shares for issuance.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Through filing date, as part of the restructuring activities and evaluation of strategic alternatives aimed at maximizing shareholder value, the Company anticipates incurring severance costs of $0.8 million related to personnel separation.</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b/>
          <w:color w:val="000000"/>
          <w:sz w:val="20"/>
        </w:rPr>
      </w:pPr>
      <w:bookmarkStart w:id="12" w:name="section26"/>
      <w:bookmarkStart w:id="13" w:name="item_2_mda"/>
      <w:bookmarkEnd w:id="12"/>
      <w:bookmarkEnd w:id="13"/>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included in “Part I. Item 1. Financial Statements” of this Quarterly Report on Form 10-Q. This discussion contains forward-looking statements that involve risk and uncertainties, such as statements of our plans, objectives, expectations, and intentions, that are based on the beliefs of our management. Our actual results could differ materially from those discussed in these forward-looking statements. Factors that could cause or contribute to such differences include, but are not limited to, those discussed in the “Risk Factors” section of this Quarterly Report on Form 10-Q and our Annual Report on Form 10-K. Unless the context requires otherwise, references in this Quarterly Report on Form 10-Q to the “Company,” “Quince,” “we,” “us,” and “our” refer to Quince Therapeutics, Inc. and its consolidated subsidiaries.</w:t>
      </w:r>
    </w:p>
    <w:p>
      <w:pPr>
        <w:pStyle w:val="TextBody"/>
        <w:bidi w:val="0"/>
        <w:spacing w:before="240" w:after="283"/>
        <w:jc w:val="left"/>
        <w:rPr>
          <w:rFonts w:ascii="Times New Roman" w:hAnsi="Times New Roman"/>
          <w:b/>
          <w:color w:val="000000"/>
          <w:sz w:val="20"/>
        </w:rPr>
      </w:pPr>
      <w:bookmarkStart w:id="14" w:name="section27"/>
      <w:bookmarkEnd w:id="14"/>
      <w:r>
        <w:rPr>
          <w:rFonts w:ascii="Times New Roman" w:hAnsi="Times New Roman"/>
          <w:b/>
          <w:color w:val="000000"/>
          <w:sz w:val="20"/>
        </w:rPr>
        <w:t>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late-stage biotechnology company dedicated to unlocking the power of a patient’s own biology for the treatment of rare diseases. Our proprietary AIDE technology is an innovative drug/device combination platform that uses an automated process to encapsulate a drug into a patient’s own red blood cells. Red blood cells have several characteristics that make them an excellent vehicle for drug delivery, including better safety and tolerability, enhanced tissue distribution, reduced immunogenicity, and prolongation of circulating half-life. Our AIDE technology is designed to harness many of these benefits to allow for new and improved therapeutic options for patients living with high unmet medical needs. eDSP is the first product in development that leverages our AIDE technology and is composed of DSP encapsulated in autologous red blood cells targeted to treat a rare pediatric neurodegenerative disease, A-T. DSP is a corticosteroid well-described for its anti-inflammatory properties, but is also coupled with serious adverse events, including adrenal suppression. eDSP is designed to maintain the well-described efficacy of DSP while reducing or eliminating the significant adverse events that accompany chronic corticosteroid treatment. The altered biodistribution, pharmacokinetics, and pharmacodynamics of eDSP enabled by autologous red blood cells may, therefore, improve the safety profile, and maintain or increase the desired therapeutic effect of DSP.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Phase 3 NEAT clinical trial of eDSP for 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NEAT study, our pivotal Phase 3 international, multicenter, randomized, double-blind, placebo-controlled study (n=105), the primary endpoint, which measured the change from baseline to last efficacy visit at month six using the Rescored modified International Cooperative Ataxia Rating Scale (RmICARS) compared to placebo, did not reach statistical significance. The mean change from baseline to month six was 0.94 in the active arm compared to 2.24 in the placebo arm (difference -1.30) with a p-value of 0.0851. Furthermore, the study did not meet its key secondary endpoint of improvement in Clinical Global Impression of Severity (CGI-S) measured from baseline to month six with a p-value of 0.522. eDSP was generally well tolerated and there were no clinically meaningful safety concerns identified. The most common adverse events reported in the eDSP arm included pruritis and pyrexia. Based on the results of the NEAT clinical trial, eDSP does not appear to be an effective treatment for A-T and we will be unable to continue development of eDSP in this or other therapeutic indications. We have no other current product candidates and are currently focused on preserving cash while we evaluate available strategic alternatives.</w:t>
      </w:r>
    </w:p>
    <w:p>
      <w:pPr>
        <w:pStyle w:val="TextBody"/>
        <w:bidi w:val="0"/>
        <w:spacing w:before="240" w:after="283"/>
        <w:jc w:val="left"/>
        <w:rPr>
          <w:rFonts w:ascii="Times New Roman" w:hAnsi="Times New Roman"/>
          <w:sz w:val="20"/>
        </w:rPr>
      </w:pPr>
      <w:r>
        <w:rPr>
          <w:rFonts w:ascii="Times New Roman" w:hAnsi="Times New Roman"/>
          <w:b/>
          <w:color w:val="000000"/>
          <w:sz w:val="20"/>
        </w:rPr>
        <w:t>Recent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9, 2026, we engaged LifeSci Capital as our exclusive financial advisor to assist in restructuring activities and an evaluation of strategic alternatives aimed at maximizing shareholder value. Based on our initial evaluation, we plan to focus our efforts with respect to strategic alternatives, including effecting a reverse merger. We do not currently have any agreements or commitments to effect any such transactions and may not be able to execute such transactions on terms favorable to us and our stockholders, or at all. While we may also sell assets relating to our previous product candidates, we do not expect to receive any meaningful consideration from such sale, if 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order to fund our current efforts to pursue strategic alternatives, including a reverse merger, we intend to obtain additional funding through available financing sources, which may include additional public offerings of common stock, including sales of common stock, under a Controlled Equity Offering</w:t>
      </w:r>
      <w:r>
        <w:rPr>
          <w:rFonts w:ascii="Times New Roman" w:hAnsi="Times New Roman"/>
          <w:color w:val="000000"/>
          <w:sz w:val="13"/>
        </w:rPr>
        <w:t>SM</w:t>
      </w:r>
      <w:r>
        <w:rPr>
          <w:rFonts w:ascii="Times New Roman" w:hAnsi="Times New Roman"/>
          <w:color w:val="000000"/>
          <w:sz w:val="20"/>
        </w:rPr>
        <w:t xml:space="preserve"> Sales Agreement, dated December 18, 2024, with Cantor Fitzgerald &amp; Co. and H.C. Wainwright &amp; Co., LLC, or private financing of debt or equity. If we are successful in obtaining any such additional funding, we may use all or a portion of the net proceeds to repay outstanding liabilities, as well as for general corporate purposes and to support our activities with respect to strategic alternatives, including effecting a reverse merger. There can be no guarantee that we will be able to obtain such additional funding on terms favorable to the Company or our stockholders, or at all.</w:t>
      </w:r>
    </w:p>
    <w:p>
      <w:pPr>
        <w:pStyle w:val="TextBody"/>
        <w:bidi w:val="0"/>
        <w:spacing w:before="240" w:after="283"/>
        <w:jc w:val="left"/>
        <w:rPr>
          <w:rFonts w:ascii="Times New Roman" w:hAnsi="Times New Roman"/>
          <w:b/>
          <w:color w:val="000000"/>
          <w:sz w:val="20"/>
        </w:rPr>
      </w:pPr>
      <w:bookmarkStart w:id="15" w:name="section28"/>
      <w:bookmarkEnd w:id="15"/>
      <w:r>
        <w:rPr>
          <w:rFonts w:ascii="Times New Roman" w:hAnsi="Times New Roman"/>
          <w:b/>
          <w:color w:val="000000"/>
          <w:sz w:val="20"/>
        </w:rPr>
        <w:t>Financial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recently completed our NEAT clinical trial for our lead drug candidate, eDSP, which did not meet primary or secondary endpoints. Based on the results of the NEAT clinical trial, eDSP does not appear to be an effective treatment for A-T and we will be unable to continue development of eDSP in this or other therapeutic indications. We have no other current product candidates and do not have sufficient resources to pursue further research and development activities. With cash and cash equivalents of $18.2 million as of March 31, 2026 and net proceeds of approximately $5.4 million by issuing 2,510,000 shares of common stock under the ATM program that we raised after March 31, 2026. We do not believe that our cash and cash equivalents balance as of the date of this filing will be sufficient to fund operations for the twelve months following the filing of this Quarterly Report on Form 10-Q, and we will need to obtain additional funding. However, there can be no assurance that we will be able to obtain additional funding on acceptable terms, if at all.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operating expenses since inception have consisted primarily of R&amp;D activities and G&amp;A costs.</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and development expenses consist of expenses incurred in connection with the research and development of our research programs. These expenses include payroll and personnel expenses, including stock-based compensation, for our research and product development employees, laboratory supplies, product licenses, consulting costs, contract research, regulatory, quality assurance, preclinical and clinical expenses, allocated rent, facilities costs and depreciation. We expense both internal and external research and development costs as they are incurred. Non-refundable advance payments and deposits for services that would be used or rendered for future research and development activities are recorded as prepaid expenses and recognized as an expense as the related services are performed.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payroll and stock-based compensation, for personnel in executive, finance, human resources, business and corporate development, and other administrative functions, professional fees for legal, consulting, insurance and accounting services, allocated rent and other facilities costs, depreciation, and other general operating expenses not otherwise classified as research and development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Intangible Asset Impairment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Finite-lived intangible asset consist primarily of the tradename and is amortized on a straight-line basis over their estimated useful lives. Indefinite lived intangible assets are not amortized, Intangible assets related to IPR&amp;D acquired in a business combination or an acquisition that are used in IPR&amp;D shall be considered indefinite lived until the completion or abandonment of the associated research and development efforts. IPR&amp;D is not amortized but is tested for impairment annually or when events or circumstances indicate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may be below the carrying value of the asset. If the carrying value of the assets is not expected to be recovered, the assets are written down to their estimated fair values.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Fair Value Adjustment for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 fair value adjustment for contingent consideration primarily due to the expected timing of achieving various milestones, and the passage of time related to the contingent consideration earnout resulting from the EryDel Acquisition. Changes in the fair value of the contingent consideration obligations may result from changes in probability assumptions with respect to the likelihood of achieving the various contingent payment obligations.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 fair value adjustment for debt primarily due to the passage of time and the interest accrued for the loan with the EIB.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fair value adjustment for warrant liability calculated using the Black-Scholes option pricing model, adjustments are due to changes in the Company’s stock price, the expected term, volatility, risk-free interest rate, and expected dividends.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consists primarily of interest earned on our short-term and long-term investments portfolio.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(expense), net consists primarily of the effects of foreign currency exchange rates. </w:t>
      </w:r>
    </w:p>
    <w:p>
      <w:pPr>
        <w:pStyle w:val="TextBody"/>
        <w:bidi w:val="0"/>
        <w:spacing w:before="240" w:after="283"/>
        <w:jc w:val="left"/>
        <w:rPr>
          <w:rFonts w:ascii="Times New Roman" w:hAnsi="Times New Roman"/>
          <w:b/>
          <w:color w:val="000000"/>
          <w:sz w:val="20"/>
        </w:rPr>
      </w:pPr>
      <w:bookmarkStart w:id="16" w:name="section29"/>
      <w:bookmarkEnd w:id="16"/>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 description of our significant accounting policies, see Note 2 to our unaudited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our policies, the following are considered critical to an understanding of our consolidated financial statements as they require the application of subjective and complex judgment, involving critical accounting estimates and assumptions impacting our condensed consolidated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Intangible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discussion about the other critical accounting estimates and assumptions impacting our condensed consolidated financial statements, see the </w:t>
      </w:r>
      <w:r>
        <w:rPr>
          <w:rFonts w:ascii="Times New Roman" w:hAnsi="Times New Roman"/>
          <w:i/>
          <w:color w:val="000000"/>
          <w:sz w:val="20"/>
        </w:rPr>
        <w:t xml:space="preserve">Critical Accounting Estimates </w:t>
      </w:r>
      <w:r>
        <w:rPr>
          <w:rFonts w:ascii="Times New Roman" w:hAnsi="Times New Roman"/>
          <w:color w:val="000000"/>
          <w:sz w:val="20"/>
        </w:rPr>
        <w:t xml:space="preserve">section within MD&amp;A of our Annual Report on Form 10-K for the year ended December 31, 2025, filed with the SEC on April 10,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7" w:name="section31"/>
      <w:bookmarkEnd w:id="17"/>
      <w:r>
        <w:rPr>
          <w:rFonts w:ascii="Times New Roman" w:hAnsi="Times New Roman"/>
          <w:b/>
          <w:color w:val="000000"/>
          <w:sz w:val="20"/>
        </w:rPr>
        <w:t>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to the three months ended March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sets forth our results of operations for the three months ended March 31, 2026 and 2025 (in thousands, except for percentages):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7"/>
        <w:gridCol w:w="146"/>
        <w:gridCol w:w="278"/>
        <w:gridCol w:w="972"/>
        <w:gridCol w:w="218"/>
        <w:gridCol w:w="192"/>
        <w:gridCol w:w="278"/>
        <w:gridCol w:w="972"/>
        <w:gridCol w:w="166"/>
        <w:gridCol w:w="146"/>
        <w:gridCol w:w="211"/>
        <w:gridCol w:w="736"/>
        <w:gridCol w:w="166"/>
        <w:gridCol w:w="146"/>
        <w:gridCol w:w="146"/>
        <w:gridCol w:w="691"/>
        <w:gridCol w:w="574"/>
      </w:tblGrid>
      <w:tr>
        <w:trPr/>
        <w:tc>
          <w:tcPr>
            <w:tcW w:w="4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4"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 impairment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(64,330</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(66,254</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5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(14,590</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adjustment for warrants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CEE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57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574"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30,573</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5,339</w:t>
            </w:r>
          </w:p>
        </w:tc>
        <w:tc>
          <w:tcPr>
            <w:tcW w:w="21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w:t>
            </w:r>
          </w:p>
        </w:tc>
        <w:tc>
          <w:tcPr>
            <w:tcW w:w="57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 xml:space="preserve">Research and Development Expenses </w:t>
      </w:r>
      <w:r>
        <w:rPr>
          <w:rFonts w:ascii="Times New Roman" w:hAnsi="Times New Roman"/>
          <w:i/>
          <w:color w:val="000000"/>
          <w:sz w:val="20"/>
        </w:rPr>
        <w:t>(in thousands, except for percentages):</w:t>
      </w:r>
    </w:p>
    <w:p>
      <w:pPr>
        <w:pStyle w:val="TextBody"/>
        <w:bidi w:val="0"/>
        <w:jc w:val="left"/>
        <w:rPr/>
      </w:pPr>
      <w:r>
        <w:rPr/>
        <w:t> </w:t>
      </w:r>
    </w:p>
    <w:tbl>
      <w:tblPr>
        <w:tblW w:w="10197" w:type="dxa"/>
        <w:jc w:val="left"/>
        <w:tblInd w:w="0" w:type="dxa"/>
        <w:tblLayout w:type="fixed"/>
        <w:tblCellMar>
          <w:top w:w="28" w:type="dxa"/>
          <w:left w:w="28" w:type="dxa"/>
          <w:bottom w:w="28" w:type="dxa"/>
          <w:right w:w="28" w:type="dxa"/>
        </w:tblCellMar>
      </w:tblPr>
      <w:tblGrid>
        <w:gridCol w:w="4866"/>
        <w:gridCol w:w="346"/>
        <w:gridCol w:w="272"/>
        <w:gridCol w:w="738"/>
        <w:gridCol w:w="188"/>
        <w:gridCol w:w="188"/>
        <w:gridCol w:w="272"/>
        <w:gridCol w:w="738"/>
        <w:gridCol w:w="146"/>
        <w:gridCol w:w="146"/>
        <w:gridCol w:w="211"/>
        <w:gridCol w:w="631"/>
        <w:gridCol w:w="166"/>
        <w:gridCol w:w="146"/>
        <w:gridCol w:w="146"/>
        <w:gridCol w:w="421"/>
        <w:gridCol w:w="576"/>
      </w:tblGrid>
      <w:tr>
        <w:trPr/>
        <w:tc>
          <w:tcPr>
            <w:tcW w:w="4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eDSP</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direct research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6,845</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FFFFFF"/>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were $6.8 million for the three months ended March 31, 2026, compared to $8.1 million for the three months ended March 31, 2025, a decrease of $1.3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for eDSP development decreased by $2.3 million compared to the same period from the prior year due to the ramping down related to our Phase 3 NEAT clinical trial and OLE as well as a gain on the settlement of accounts payable. This decrease was primarily due to a gain on settlement of accounts payable of $2.6 million, of which $2.4 million related to eDSP, as well as a decrease in clinical trial costs of $1.8 million, a decrease in eDSP consulting of $0.4 million, and a decrease in manufacturing costs of $0.3 million, offset by an increase of R&amp;D expenses of $2.4 million related to the reserve and adjustment for R&amp;D tax credits and $0.2 million of other R&amp;D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personnel related costs increased by $0.7 million during the three months ended March 31, 2026 as compared to the three months ended March 31, 2025, mainly as a result of an increase of $0.1 million in allocated stock-based compensation costs and a $0.6 million increase in other personnel related expenses, including severance costs related to personnel separation.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Facilities and other research and development expenses decreased by $23 thousand for the three months ended March 31, 2026, as compared to the three months ended March 31, 2025 primarily due to a decrease in rent, storage and facilities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decreased by $0.5 million to $4.3 million for the three months ended March 31, 2026, from $4.8 million for the three months ended March 31, 2025. The decrease in general and administrative expenses is primarily due to $0.6 million in allocated stock-based compensation and personnel related expenses, offset by an increase of $0.1 million in consulting and professional costs related to the restructuring activities.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 Impairment Charge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conducted an impairment analysis of our intangible asset IPR&amp;D and tradename that resulted from the purchase of EryDel Acquisition in October 2023. We conducted a quantitative analysis which resulted in our fair value being significantly below our current carrying value due to the assumptions changing as a result of the Phase III NEAT study in January 2026. As a result of the analyses, we recorded a non-cash intangible asset impairment charge of $67.8 million for three months ended March 31, 2026.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recorded a $64.3 million fair value adjustment for contingent consideration as a result of the clinical readout of the Phase III NEAT study in January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recorded a $12.2 million fair value adjustment for the debt primarily due to the settlement of the loan with the EIB.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Adjustment for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2026, we recorded a $31.1 million fair value adjustment for warrants primarily due to timing of issuance of the warrants and change in the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$0.2 million for the three months ended March 31, 2026, as compared to the three months ended March 31, 2025. The change was due to decreased yields on our investment portfolio and decreased average balances.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increased by $1.8 million for the three months ended March 31, 2026 primarily due to unrealized gains from foreign currency translation.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recorded $5.3 million of tax benefit for the three months ended March 31, 2026 and tax expense of $47 thousand for the three months ended March 31, 2025. Tax benefit is primarily driven by the release of unrecognized tax benefit related to the 2025 intercompany sale of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generated any revenue and we have never been profitable. To date, we have financed our operations primarily through the issuance and sale of our securities. From inception through March 31, 2026, we received net proceeds of approximately $337.1 million from the issuance of redeemable convertible preferred stock, convertible promissory notes, common warrants, pre-funded warrants, and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net losses from operations since our inception. As of March 31, 2026, we had an accumulated deficit of $424.5 million. While we generated a net income of $35.9 million in the three months ended March 31, 2026, we do not expect to generate revenue unless and until we complete a reverse merger or other strategic transaction and the post-transaction company generates revenue, and we cannot assure you that a transaction will be completed or that the combined company will ever generate significant revenue or profits.</w:t>
      </w:r>
    </w:p>
    <w:p>
      <w:pPr>
        <w:pStyle w:val="TextBody"/>
        <w:bidi w:val="0"/>
        <w:spacing w:before="240" w:after="283"/>
        <w:jc w:val="left"/>
        <w:rPr>
          <w:rFonts w:ascii="Times New Roman" w:hAnsi="Times New Roman"/>
          <w:sz w:val="20"/>
        </w:rPr>
      </w:pPr>
      <w:r>
        <w:rPr>
          <w:rFonts w:ascii="Times New Roman" w:hAnsi="Times New Roman"/>
          <w:color w:val="000000"/>
          <w:sz w:val="20"/>
        </w:rPr>
        <w:t>We evaluated whether there are conditions and events, considered in the aggregate, that raise substantial doubt about our ability to continue as a going concern within one year after the date that the unaudited condensed consolidated financial statements are issued. We have incurred losses and generated negative operating cash flows since our inception and anticipate that we will continue to incur losses for at least the next several years. In January 2026, we ceased clinical development of eDSP as the primary and secondary endpoints did not achieve statistical significance in our Phase 3 NEAT clinical trial. As of March 31, 2026, we had cash and cash equivalents of $18.2 million. Based on our current operating plan, we believe that our cash and cash equivalents balance as of the date of this filing will not be sufficient to fund operations and capital expenditures for the twelve months following the filing of this Quarterly Report on Form 10-Q, and we will need to obtain additional funding. We intend to obtain additional funding through available financing sources which may include additional public offerings of common stock, including sales of common stock, under a Controlled Equity Offering</w:t>
      </w:r>
      <w:r>
        <w:rPr>
          <w:rFonts w:ascii="Times New Roman" w:hAnsi="Times New Roman"/>
          <w:color w:val="000000"/>
          <w:sz w:val="9"/>
        </w:rPr>
        <w:t>SM</w:t>
      </w:r>
      <w:r>
        <w:rPr>
          <w:rFonts w:ascii="Times New Roman" w:hAnsi="Times New Roman"/>
          <w:color w:val="000000"/>
          <w:sz w:val="20"/>
        </w:rPr>
        <w:t xml:space="preserve"> Sales Agreement, dated December 18, 2024, with Cantor Fitzgerald &amp; Co. and H.C. Wainwright &amp; Co., LLC, and/or private financing of debt or equity. Management’s belief with respect to our ability to fund operations is based on estimates that are subject to risks and uncertainties. If actual results are different from management’s estimates, we may need to seek additional funding sooner than would otherwise be expected. There can be no assurance that we will be able to obtain additional funding on acceptable terms, if at all. Because of the uncertainty in securing additional funding and the insufficient amount of cash and cash equivalent resources, we concluded that substantial doubt exists with respect to our ability to continue as a going concern within one year after the date that these consolidated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cash, cash equivalents, and marketable debt securities are held in a variety of deposit accounts, interest-bearing accounts, U.S government securities, debt securities in government-sponsored entities, and money market funds. Cash in excess of immediate requirements, if any, is invested with a view toward liquidity and capital preservation, and we seek to minimize the potential effects of concentration and credit risk. Our cash equivalents and short-term investments are held in money market funds and government agency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While we have engaged a financial advisor to support our board of directors in exploring strategic transactions, there can be no assurance that we will be able to engage in a strategic alternative transaction, including a reverse merger, or even if we do so, that any such transaction will result in favorable terms and conditions for us or our stockholders. If we are unable to execute a strategic transaction, may be required to pursue a reorganization proceeding under applicable bankruptcy or insolvency laws, including under Chapters 7 or 11 of the U.S. Bankruptcy Code.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Equity Financing</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ATM Program</w:t>
      </w:r>
    </w:p>
    <w:p>
      <w:pPr>
        <w:pStyle w:val="TextBody"/>
        <w:bidi w:val="0"/>
        <w:spacing w:before="240" w:after="283"/>
        <w:jc w:val="left"/>
        <w:rPr>
          <w:rFonts w:ascii="Times New Roman" w:hAnsi="Times New Roman"/>
          <w:sz w:val="20"/>
        </w:rPr>
      </w:pPr>
      <w:r>
        <w:rPr>
          <w:rFonts w:ascii="Times New Roman" w:hAnsi="Times New Roman"/>
          <w:color w:val="000000"/>
          <w:sz w:val="20"/>
        </w:rPr>
        <w:t>On December 18, 2024,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with Cantor Fitzgerald &amp; Co. and H.C. Wainwright &amp; Co., LLC, or the Agents, relating to the sale of shares of our common stock, par value $0.001 per share. In accordance with the terms of this agreement, we may offer and sell up to $21.9 million of shares of common stock. In October 2025, we increased the total amount available under the ATM program to $75.0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we utilized our ATM program to raise net proceeds of approximately $15.0 million by issuing 8,018,500 shares of common stock. As of March 31, 2026, $53.1 million remained available to be sold under the ATM program.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June 2025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12, 2025, we entered into a Securities Purchase Agreement (the “Securities Purchase Agreement”), with certain institutional investors (the “Investors”) and certain members of our management (together with the Investors, the “Purchasers”) pursuant to which we issued and sold to the Purchasers in a private placement (the “Private Placement”): (i) 667,193 shares (the “Shares”) of our common stock, par value $0.001 per share, as adjusted for the Reverse Stock Split (ii) pre-funded warrants (the “Pre-Funded Warrants”) to purchase up to an aggregate of 200,000 shares of common stock, as adjusted for the Reverse Stock Split, and (iii) accompanying warrants to purchase up to an aggregate of 867,193 shares of common stock (the “Common Warrants”), as adjusted for the Reverse Stock Split, for aggregate gross proceeds of approximately $11.5 million (excluding up to approximately $10.4 million of aggregate gross proceeds that may be received in the future upon the cash exercise in full of the Common Warrants issued in the Private Placement), before deducting placement agent fees and other expenses payable by us. Each Share and each Pre-Funded Warrant sold pursuant to the Securities Purchase Agreement was accompanied by one Common Warrant. The combined purchase price of each Share and accompanying Common Warrant was $13.25 (which included $1.25 per Common Warrant in accordance with the rules and regulations of Nasdaq). The combined purchase price of each Pre-Funded Warrant and accompanying Common Warrant was $13.24 (equal to the combined purchase price per Share and accompanying Common Warrant, minus $0.01).</w:t>
      </w:r>
    </w:p>
    <w:p>
      <w:pPr>
        <w:pStyle w:val="TextBody"/>
        <w:bidi w:val="0"/>
        <w:spacing w:before="240" w:after="283"/>
        <w:jc w:val="left"/>
        <w:rPr>
          <w:rFonts w:ascii="Times New Roman" w:hAnsi="Times New Roman"/>
          <w:i/>
          <w:color w:val="000000"/>
          <w:sz w:val="20"/>
          <w:u w:val="single"/>
        </w:rPr>
      </w:pPr>
      <w:r>
        <w:rPr>
          <w:rFonts w:ascii="Times New Roman" w:hAnsi="Times New Roman"/>
          <w:i/>
          <w:color w:val="000000"/>
          <w:sz w:val="20"/>
          <w:u w:val="single"/>
        </w:rPr>
        <w:t>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of EryDel on October 20, 2023, we guaranteed the EIB Loan. The EIB Loan was amended and restated as of the acquisition date. The EIB Loan provides for maximum borrowings of 30.0 million euro through four tranches; tranche A, 3.0 million euro; tranche B, 7.0 million euro; tranche C, 10.0 million euro; and tranche D, 10.0 million euro. Each tranche is subject to conditions precedent related to our business and capitalization. Only tranches A and B were drawn. All amounts under tranche A and B were payable on their maturity date of August 2026. Interest accrued at fixed rates for each tranche and both principal and interest was payable on the maturity date for each tranche (with the exception of 2% cash interest which was accrued and payable quarterly during fiscal year 2025 pursuant to the terms of the Amendment (as defined below), which correspondingly reduced the deferred interest rate accruing during such period). The fixed rates ranged from 7.0% to 9.0% per annum.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27, 2026, we entered into a loan settlement agreement (the “Settlement Agreement”) with the EIB in connection with the EIB loan. Pursuant to the Settlement Agreement, effective immediately upon our payment of 4.8 million euros ($5.5 million), our outstanding obligations to the EIB were settled in full and all of our obligations were satisfied and discharged.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primary sources and uses of cash and cash equivalents for each of the periods presented below (in thousands):</w:t>
      </w:r>
    </w:p>
    <w:p>
      <w:pPr>
        <w:pStyle w:val="TextBody"/>
        <w:bidi w:val="0"/>
        <w:jc w:val="left"/>
        <w:rPr/>
      </w:pPr>
      <w:r>
        <w:rPr/>
        <w:t> </w:t>
      </w:r>
    </w:p>
    <w:tbl>
      <w:tblPr>
        <w:tblW w:w="8405" w:type="dxa"/>
        <w:jc w:val="left"/>
        <w:tblInd w:w="0" w:type="dxa"/>
        <w:tblLayout w:type="fixed"/>
        <w:tblCellMar>
          <w:top w:w="28" w:type="dxa"/>
          <w:left w:w="28" w:type="dxa"/>
          <w:bottom w:w="28" w:type="dxa"/>
          <w:right w:w="28" w:type="dxa"/>
        </w:tblCellMar>
      </w:tblPr>
      <w:tblGrid>
        <w:gridCol w:w="3666"/>
        <w:gridCol w:w="146"/>
        <w:gridCol w:w="302"/>
        <w:gridCol w:w="967"/>
        <w:gridCol w:w="237"/>
        <w:gridCol w:w="208"/>
        <w:gridCol w:w="302"/>
        <w:gridCol w:w="967"/>
        <w:gridCol w:w="166"/>
        <w:gridCol w:w="146"/>
        <w:gridCol w:w="211"/>
        <w:gridCol w:w="676"/>
        <w:gridCol w:w="411"/>
      </w:tblGrid>
      <w:tr>
        <w:trPr/>
        <w:tc>
          <w:tcPr>
            <w:tcW w:w="3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w:t>
            </w:r>
          </w:p>
        </w:tc>
        <w:tc>
          <w:tcPr>
            <w:tcW w:w="23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4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12,354</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decreased by $2.0 million during the three months ended March 31, 2026 compared to the three months ended March 31, 2025, primarily due to lower operating payments driven by decreased clinical development activities. Net cash used in operating activities was $7.6 million for the three months ended March 31, 2026. Cash used in operating activities was primarily due to our net income of $35.9 million for the period, adjusted for $41.2 million of non-cash items, including $31.1 million change in the fair value of warrants, $1.3 million in stock-based compensation, $64.3 million change in the fair value of contingent consideration liabilities, $12.2 million change in the fair value of the EIB Loan, $2.6 million in gain on settlement of accounts payable, $67.8 million non-cash impairment on intangible assets, and a net increase in our operating assets of $1.8 million and a net increase in our accounts payable, and accrued expenses and other current liabilities of $0.6 million.</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jc w:val="left"/>
        <w:rPr>
          <w:rFonts w:ascii="Times New Roman" w:hAnsi="Times New Roman"/>
          <w:color w:val="000000"/>
          <w:sz w:val="20"/>
        </w:rPr>
      </w:pPr>
      <w:r>
        <w:rPr>
          <w:rFonts w:ascii="Times New Roman" w:hAnsi="Times New Roman"/>
          <w:color w:val="000000"/>
          <w:sz w:val="20"/>
        </w:rPr>
        <w:t>Cash provided by investing activities was $12.0 million for the three months ended March 31, 2026, primarily related to the proceeds from maturities of short-term investments.</w:t>
      </w:r>
    </w:p>
    <w:p>
      <w:pPr>
        <w:pStyle w:val="TextBody"/>
        <w:bidi w:val="0"/>
        <w:spacing w:before="240" w:after="283"/>
        <w:jc w:val="left"/>
        <w:rPr>
          <w:rFonts w:ascii="Times New Roman" w:hAnsi="Times New Roman"/>
          <w:sz w:val="20"/>
        </w:rPr>
      </w:pPr>
      <w:r>
        <w:rPr>
          <w:rFonts w:ascii="Times New Roman" w:hAnsi="Times New Roman"/>
          <w:color w:val="000000"/>
          <w:sz w:val="20"/>
        </w:rPr>
        <w:t>Cash provided by investing activities was $10.9 million for the three months ended March 31, 2025, primarily related to the maturities of short-term investments of $13.0 million, and the purchase of investments of $2.0 million</w:t>
      </w:r>
      <w:r>
        <w:rPr>
          <w:rFonts w:ascii="Arial" w:hAnsi="Arial"/>
          <w:color w:val="000000"/>
          <w:sz w:val="24"/>
        </w:rPr>
        <w: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provided by financing activities was $9.4 million for the three months ended March 31, 2026, which consisted of $15.0 million from the issuance of common stock in connection with the ATM offerings and the repayment of debt of $5.5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used in financing activities was $0.1 million for the three months ended March 31, 2025, which consisted of net proceeds from the exercise of stock options in the period.</w:t>
      </w:r>
    </w:p>
    <w:p>
      <w:pPr>
        <w:pStyle w:val="TextBody"/>
        <w:bidi w:val="0"/>
        <w:spacing w:before="240" w:after="283"/>
        <w:jc w:val="left"/>
        <w:rPr>
          <w:rFonts w:ascii="Times New Roman" w:hAnsi="Times New Roman"/>
          <w:b/>
          <w:color w:val="000000"/>
          <w:sz w:val="20"/>
        </w:rPr>
      </w:pPr>
      <w:bookmarkStart w:id="18" w:name="section32"/>
      <w:bookmarkEnd w:id="18"/>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contractual obligations primarily consist of our obligations under non-cancellable operating leases and other purchase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 into contracts in the normal course of business with third party contract organizations for clinical trials, non-clinical studies and testing, manufacturing, and other services and products for operating purposes. The amount and timing of the payments under these contracts varies based upon the timing of the services. We have recorded accrued expense of approximately $3.4 million in our condensed consolidated balance sheet for expenditures incurred by these vendors as of March 31, 2026. Our cancellable future operating expense commitments based on existing contracts as of March 31, 2026 is immaterial. These obligations will be satisfied in the normal course of business, but generally no longer than 12 months. In March 2026, we entered into a Settlement Agreement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EIB to settle our outstanding obligations in full with a single payment of 4.8 million euros ($5.5 million). Following such payment, all of our obligations to the EIB were satisfied and discharged. Additionally, in March 2026, it was determined that the criteria for the contingent consideration payouts will not be met, resulting in the related liability being reduced to zero. As of March 31, 2026, the fair value of warrants issued in connection with the private placement is $0.7 million.</w:t>
      </w:r>
    </w:p>
    <w:p>
      <w:pPr>
        <w:pStyle w:val="TextBody"/>
        <w:bidi w:val="0"/>
        <w:spacing w:before="240" w:after="283"/>
        <w:jc w:val="left"/>
        <w:rPr>
          <w:rFonts w:ascii="Times New Roman" w:hAnsi="Times New Roman"/>
          <w:b/>
          <w:color w:val="000000"/>
          <w:sz w:val="20"/>
        </w:rPr>
      </w:pPr>
      <w:bookmarkStart w:id="19" w:name="item_3_quantitative_and_qualitative"/>
      <w:bookmarkEnd w:id="19"/>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b/>
          <w:color w:val="000000"/>
          <w:sz w:val="20"/>
        </w:rPr>
      </w:pPr>
      <w:bookmarkStart w:id="20" w:name="item_4_controls_and_procedures"/>
      <w:bookmarkEnd w:id="20"/>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disclosure controls and procedures are designed to ensure that information required to be disclosed by us in reports that we file or submit under the Exchange Act, is recorded, communicated to our management to allow timely decisions regarding required disclosure, summarized and reported within the time periods specified in the SEC's rules and forms. Any disclosure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the Chief Executive Officer and Principal Financial Officer, we conducted an evaluation of the effectiveness of our disclosure controls and procedures, as such term is defined under Rules 13a-15(e) and 15d-15(e) under the Exchange Act, as of March 31, 2026. Based on that evaluation, the Chief Executive Officer and Principal Financial Officer have concluded that, as of such date, our disclosure controls and procedures were effective.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22" w:name="item_1_legal_proceedings"/>
      <w:bookmarkEnd w:id="22"/>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 </w:t>
      </w:r>
    </w:p>
    <w:p>
      <w:pPr>
        <w:pStyle w:val="TextBody"/>
        <w:bidi w:val="0"/>
        <w:spacing w:before="240" w:after="283"/>
        <w:jc w:val="left"/>
        <w:rPr>
          <w:rFonts w:ascii="Times New Roman" w:hAnsi="Times New Roman"/>
          <w:b/>
          <w:color w:val="000000"/>
          <w:sz w:val="20"/>
        </w:rPr>
      </w:pPr>
      <w:bookmarkStart w:id="23" w:name="item_1a_risk_factors"/>
      <w:bookmarkEnd w:id="23"/>
      <w:r>
        <w:rPr>
          <w:rFonts w:ascii="Times New Roman" w:hAnsi="Times New Roman"/>
          <w:b/>
          <w:color w:val="000000"/>
          <w:sz w:val="20"/>
        </w:rPr>
        <w:t>Item 1A. Risk Factors.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In addition to the other information set forth below and elsewhere in this report, you should carefully consider the factors discussed in "Part I, Item 1A. Risk Factors” in our Annual Report on Form 10-K for the year ended December 31, 2025, which could materially affect our business, financial condition or future results. We may be unable for many reasons, including those that are beyond our control, to implement our business strategy successfully. The occurrence of any single risk or any combination of risks could materially and adversely affect our business, financial condition, results of operations, cash flows and the trading price of our common stock. As of the date of this report there has been no material change in any of the risk factors described in our Annual Report on Form 10-K for the fiscal year ended December 31, 2025, except as set forth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Nasdaq may delist our securities from its exchange, which could adversely affect our ability to execute a strategic transaction and limit our stockholders’ liquidity.</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currently listed on the Nasdaq Global Select Market, which has qualitative and quantitative listing criteria. However, we cannot assure you that our common stock will continue to be listed on Nasdaq in the future. In order to continue listing our common stock on Nasdaq, we must maintain certain financial, distribution and stock price levels. Generally, we must maintain a minimum amount in stockholders’ equity, a minimum number of holders of our common stock, a $1.00 minimum bid price per share for our common stock, and certain governance requirements relating to the composition of the committees of our Board of Directors.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In March 2026, we received notices from Nasdaq indicating that we are no longer in compliance with Nasdaq’s continued listing requirements relating to maintaining (i) a minimum bid price of our common stock equal to $1.00 per share pursuant to Nasdaq Listing Rule 5550(a)(2) and (ii) a minimum market value of listed securities equal to $50,000,000. While we have regained compliance with the minimum bid price requirement, we have not yet regained compliance with the minimum market value of listed securities requirement. While we have an initial period of 180 days, until September 14, 2026, to regain compliance with such requirements, there is no guarantee that we will be able to regain compliance, or, if we do regain compliance, maintain such compliance in the future. In addition, as of December 31, 2025, our total stockholders’ deficit was approximately $35.7 million.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If we are unable to comply with Nasdaq continued listing requirements, our common stock may be subject to delisting. If Nasdaq delists our common stock from trading on its exchange or if we decide to voluntarily delist from Nasdaq and/or deregister our common stock under the federal securities laws, we could face significant material adverse consequences, including but not limited to (i) a limited availability of market quotations for our common stock; (ii) reduced liquidity for our common stock; (iii) a determination that our common stock is a “penny stock” which will require brokers trading in our common stock to adhere to more stringent rules and possibly result in a reduced level of trading activity in the secondary trading market for our securities; (iv) a limited amount of news and analyst coverage, and in the event of deregistration of our common stock, less public disclosure about us; and (v) a decreased ability to issue additional securities or obtain additional financing in the future. In addition, if our common stock is delisted from Nasdaq our ability to execute a reverse merger transaction will be adversely affected.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4" w:name="unregistered_sales_of_equity_securities"/>
      <w:bookmarkEnd w:id="24"/>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5" w:name="defaults_upon_senior_securities"/>
      <w:bookmarkEnd w:id="25"/>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6" w:name="item_4_mine_safety_disclosures"/>
      <w:bookmarkEnd w:id="26"/>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7" w:name="item_5_other_information"/>
      <w:bookmarkEnd w:id="27"/>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8" w:name="item_6_exhibits"/>
      <w:bookmarkEnd w:id="28"/>
      <w:r>
        <w:rPr>
          <w:rFonts w:ascii="Times New Roman" w:hAnsi="Times New Roman"/>
          <w:b/>
          <w:color w:val="000000"/>
          <w:sz w:val="20"/>
        </w:rPr>
        <w:t>Item 6.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exhibits filed or furnished as part of this Quarterly Report on Form 10-Q are set forth on the Exhibit Index and such Exhibit Index is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4"/>
        <w:gridCol w:w="146"/>
        <w:gridCol w:w="5533"/>
        <w:gridCol w:w="146"/>
        <w:gridCol w:w="586"/>
        <w:gridCol w:w="146"/>
        <w:gridCol w:w="743"/>
        <w:gridCol w:w="146"/>
        <w:gridCol w:w="857"/>
        <w:gridCol w:w="146"/>
        <w:gridCol w:w="932"/>
      </w:tblGrid>
      <w:tr>
        <w:trPr/>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78"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Filed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Herewith</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5/13/2019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registrant’s Certificate of Incorporation, effective August 1,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Certificate of Amendment to Amended and Restated Certificate 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Amendment to Amended and Restated Bylaws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4/10/2026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001-38890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w:anchor="qncx-ex31_1.htm">
              <w:r>
                <w:rPr>
                  <w:rStyle w:val="InternetLink"/>
                  <w:rFonts w:ascii="Times New Roman" w:hAnsi="Times New Roman"/>
                  <w:color w:val="0000FF"/>
                  <w:sz w:val="20"/>
                  <w:u w:val="single"/>
                </w:rPr>
                <w:t>Certification of Principal Executive Officer pursuant to Rules 13a-14(a) and Rule 15d-14(a)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w:anchor="qncx-ex31_2.htm">
              <w:r>
                <w:rPr>
                  <w:rStyle w:val="InternetLink"/>
                  <w:rFonts w:ascii="Times New Roman" w:hAnsi="Times New Roman"/>
                  <w:color w:val="0000FF"/>
                  <w:sz w:val="20"/>
                  <w:u w:val="single"/>
                </w:rPr>
                <w:t>Certification of Principal Financial Officer pursuant to Rules 13a-14(a) and Rule 15d-14(a) of the Exchange Act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w:anchor="qncx-ex32_1.htm">
              <w:r>
                <w:rPr>
                  <w:rStyle w:val="InternetLink"/>
                  <w:rFonts w:ascii="Times New Roman" w:hAnsi="Times New Roman"/>
                  <w:color w:val="0000FF"/>
                  <w:sz w:val="20"/>
                  <w:u w:val="single"/>
                </w:rPr>
                <w:t>Certification of Principal Executive Officer pursuant to Rule 13a-14(b) of the Exchange Act and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hyperlink w:anchor="qncx-ex32_2.htm">
              <w:r>
                <w:rPr>
                  <w:rStyle w:val="InternetLink"/>
                  <w:rFonts w:ascii="Times New Roman" w:hAnsi="Times New Roman"/>
                  <w:color w:val="0000FF"/>
                  <w:sz w:val="20"/>
                  <w:u w:val="single"/>
                </w:rPr>
                <w:t>Certification of Principal Financial Officer pursuant to Rule 13a-14(b) of the Exchange Act and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2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Quarterly Report on Form 10-Q and will not be deemed “filed” for purpose of Section 18 of the Exchange Act. Such certifications will not be deemed to be incorporated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into any filing under the Securities Act or the Exchange Act, except to the extent that the registrant specifically incorporates it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628" w:type="dxa"/>
        <w:jc w:val="left"/>
        <w:tblInd w:w="0" w:type="dxa"/>
        <w:tblLayout w:type="fixed"/>
        <w:tblCellMar>
          <w:top w:w="28" w:type="dxa"/>
          <w:left w:w="28" w:type="dxa"/>
          <w:bottom w:w="28" w:type="dxa"/>
          <w:right w:w="28" w:type="dxa"/>
        </w:tblCellMar>
      </w:tblPr>
      <w:tblGrid>
        <w:gridCol w:w="1741"/>
        <w:gridCol w:w="406"/>
        <w:gridCol w:w="648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Quince 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Dirk Thye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Dirk Thye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Chief Medical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Brendan Hannah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Brendan Hannah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Business Officer, Chief Operating Officer, and Chief Compliance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bookmarkStart w:id="30" w:name="qncx-ex31_1.htm"/>
      <w:bookmarkStart w:id="31" w:name="ksqncxex31_1"/>
      <w:bookmarkEnd w:id="30"/>
      <w:bookmarkEnd w:id="31"/>
      <w:r>
        <w:rPr/>
        <w:t> </w:t>
      </w:r>
      <w:r>
        <w:br w:type="page"/>
      </w:r>
    </w:p>
    <w:p>
      <w:pPr>
        <w:pStyle w:val="TextBody"/>
        <w:bidi w:val="0"/>
        <w:jc w:val="right"/>
        <w:rPr>
          <w:rFonts w:ascii="Times New Roman" w:hAnsi="Times New Roman"/>
          <w:b/>
          <w:color w:val="000000"/>
          <w:sz w:val="20"/>
        </w:rPr>
      </w:pPr>
      <w:bookmarkStart w:id="32" w:name="section1"/>
      <w:bookmarkEnd w:id="32"/>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Dirk Thye,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Quince Therapeutics, Inc. for the quarter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5972" w:type="dxa"/>
        <w:jc w:val="left"/>
        <w:tblInd w:w="0" w:type="dxa"/>
        <w:tblLayout w:type="fixed"/>
        <w:tblCellMar>
          <w:top w:w="28" w:type="dxa"/>
          <w:left w:w="28" w:type="dxa"/>
          <w:bottom w:w="28" w:type="dxa"/>
          <w:right w:w="28" w:type="dxa"/>
        </w:tblCellMar>
      </w:tblPr>
      <w:tblGrid>
        <w:gridCol w:w="1741"/>
        <w:gridCol w:w="4231"/>
      </w:tblGrid>
      <w:tr>
        <w:trPr/>
        <w:tc>
          <w:tcPr>
            <w:tcW w:w="1741"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May 11, 2026</w:t>
            </w:r>
          </w:p>
        </w:tc>
        <w:tc>
          <w:tcPr>
            <w:tcW w:w="42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Dirk Thye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Dirk Thye</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20"/>
              </w:rPr>
            </w:pPr>
            <w:r>
              <w:rPr>
                <w:rFonts w:ascii="Times New Roman" w:hAnsi="Times New Roman"/>
                <w:color w:val="000000"/>
                <w:sz w:val="20"/>
              </w:rPr>
              <w:t>Chief Executive Officer and Chief Medical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qncx-ex31_2.htm"/>
      <w:bookmarkStart w:id="34" w:name="ksqncxex31_2"/>
      <w:bookmarkEnd w:id="33"/>
      <w:bookmarkEnd w:id="34"/>
      <w:r>
        <w:rPr/>
        <w:t> </w:t>
      </w:r>
      <w:r>
        <w:br w:type="page"/>
      </w:r>
    </w:p>
    <w:p>
      <w:pPr>
        <w:pStyle w:val="TextBody"/>
        <w:bidi w:val="0"/>
        <w:jc w:val="right"/>
        <w:rPr>
          <w:rFonts w:ascii="Times New Roman" w:hAnsi="Times New Roman"/>
          <w:b/>
          <w:color w:val="000000"/>
          <w:sz w:val="20"/>
        </w:rPr>
      </w:pPr>
      <w:bookmarkStart w:id="35" w:name="section11"/>
      <w:bookmarkEnd w:id="35"/>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Brendan Hannah,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Quince Therapeutics, Inc. for the quarter ended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40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8222" w:type="dxa"/>
        <w:jc w:val="left"/>
        <w:tblInd w:w="0" w:type="dxa"/>
        <w:tblLayout w:type="fixed"/>
        <w:tblCellMar>
          <w:top w:w="28" w:type="dxa"/>
          <w:left w:w="28" w:type="dxa"/>
          <w:bottom w:w="28" w:type="dxa"/>
          <w:right w:w="28" w:type="dxa"/>
        </w:tblCellMar>
      </w:tblPr>
      <w:tblGrid>
        <w:gridCol w:w="1741"/>
        <w:gridCol w:w="6481"/>
      </w:tblGrid>
      <w:tr>
        <w:trPr/>
        <w:tc>
          <w:tcPr>
            <w:tcW w:w="1741"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May 11, 2026</w:t>
            </w:r>
          </w:p>
        </w:tc>
        <w:tc>
          <w:tcPr>
            <w:tcW w:w="64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Brendan Hannah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Brendan Hannah</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tcMar>
              <w:top w:w="0" w:type="dxa"/>
              <w:left w:w="0" w:type="dxa"/>
              <w:bottom w:w="0" w:type="dxa"/>
              <w:right w:w="0" w:type="dxa"/>
            </w:tcMar>
            <w:vAlign w:val="center"/>
          </w:tcPr>
          <w:p>
            <w:pPr>
              <w:pStyle w:val="TableContents"/>
              <w:bidi w:val="0"/>
              <w:spacing w:before="65" w:after="283"/>
              <w:jc w:val="center"/>
              <w:rPr>
                <w:rFonts w:ascii="Times New Roman" w:hAnsi="Times New Roman"/>
                <w:color w:val="000000"/>
                <w:sz w:val="20"/>
              </w:rPr>
            </w:pPr>
            <w:r>
              <w:rPr>
                <w:rFonts w:ascii="Times New Roman" w:hAnsi="Times New Roman"/>
                <w:color w:val="000000"/>
                <w:sz w:val="20"/>
              </w:rPr>
              <w:t>Chief Business Officer, Chief Operating Officer, and Chief Compliance Officer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qncx-ex32_1.htm"/>
      <w:bookmarkStart w:id="37" w:name="ksqncxex32_1"/>
      <w:bookmarkEnd w:id="36"/>
      <w:bookmarkEnd w:id="37"/>
      <w:r>
        <w:rPr/>
        <w:t> </w:t>
      </w:r>
      <w:r>
        <w:br w:type="page"/>
      </w:r>
    </w:p>
    <w:p>
      <w:pPr>
        <w:pStyle w:val="TextBody"/>
        <w:bidi w:val="0"/>
        <w:jc w:val="right"/>
        <w:rPr>
          <w:rFonts w:ascii="Times New Roman" w:hAnsi="Times New Roman"/>
          <w:b/>
          <w:color w:val="000000"/>
          <w:sz w:val="20"/>
        </w:rPr>
      </w:pPr>
      <w:bookmarkStart w:id="38" w:name="section12"/>
      <w:bookmarkEnd w:id="38"/>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 (18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Quince Therapeutics, Inc. (the “Company”) on Form 10-Q for the quarter ended March 31, 2026 as filed with the Securities and Exchange Commission on the date hereof to which this Certification is attached as Exhibit 32.1 (the “Report”), I certify, pursuant to Rule 13a-149b) of the Securities Exchange Act of 1934, as amended (the “Exchange Act”), and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6378" w:type="dxa"/>
        <w:jc w:val="left"/>
        <w:tblInd w:w="0" w:type="dxa"/>
        <w:tblLayout w:type="fixed"/>
        <w:tblCellMar>
          <w:top w:w="28" w:type="dxa"/>
          <w:left w:w="28" w:type="dxa"/>
          <w:bottom w:w="28" w:type="dxa"/>
          <w:right w:w="28" w:type="dxa"/>
        </w:tblCellMar>
      </w:tblPr>
      <w:tblGrid>
        <w:gridCol w:w="1741"/>
        <w:gridCol w:w="406"/>
        <w:gridCol w:w="423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May 11, 2026</w:t>
            </w:r>
          </w:p>
        </w:tc>
        <w:tc>
          <w:tcPr>
            <w:tcW w:w="406"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By:</w:t>
            </w:r>
          </w:p>
        </w:tc>
        <w:tc>
          <w:tcPr>
            <w:tcW w:w="42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Dirk Thye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Dirk Thye</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Chief Executive Officer and Chief Medical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qncx-ex32_2.htm"/>
      <w:bookmarkStart w:id="40" w:name="ksqncxex32_2"/>
      <w:bookmarkEnd w:id="39"/>
      <w:bookmarkEnd w:id="40"/>
      <w:r>
        <w:rPr/>
        <w:t> </w:t>
      </w:r>
      <w:r>
        <w:br w:type="page"/>
      </w:r>
    </w:p>
    <w:p>
      <w:pPr>
        <w:pStyle w:val="TextBody"/>
        <w:bidi w:val="0"/>
        <w:jc w:val="right"/>
        <w:rPr>
          <w:rFonts w:ascii="Times New Roman" w:hAnsi="Times New Roman"/>
          <w:b/>
          <w:color w:val="000000"/>
          <w:sz w:val="20"/>
        </w:rPr>
      </w:pPr>
      <w:bookmarkStart w:id="41" w:name="section13"/>
      <w:bookmarkEnd w:id="41"/>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906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 (18 U.S.C. SECTION 1350)</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Quince Therapeutics, Inc. (the “Company”) on Form 10-Q for the quarter ended March 31, 2026 as filed with the Securities and Exchange Commission on the date hereof to which this Certification is attached as Exhibit 32.2 (the “Report”), I certify, pursuant to Rule 13a-149b) of the Securities Exchange Act of 1934, as amended (the “Exchange Act”), and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Exchange Act; and</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bl>
      <w:tblPr>
        <w:tblW w:w="8628" w:type="dxa"/>
        <w:jc w:val="left"/>
        <w:tblInd w:w="0" w:type="dxa"/>
        <w:tblLayout w:type="fixed"/>
        <w:tblCellMar>
          <w:top w:w="28" w:type="dxa"/>
          <w:left w:w="28" w:type="dxa"/>
          <w:bottom w:w="28" w:type="dxa"/>
          <w:right w:w="28" w:type="dxa"/>
        </w:tblCellMar>
      </w:tblPr>
      <w:tblGrid>
        <w:gridCol w:w="1741"/>
        <w:gridCol w:w="406"/>
        <w:gridCol w:w="648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Date: May 11, 2026</w:t>
            </w:r>
          </w:p>
        </w:tc>
        <w:tc>
          <w:tcPr>
            <w:tcW w:w="406" w:type="dxa"/>
            <w:tcBorders/>
            <w:shd w:fill="FFFFFF" w:val="clear"/>
            <w:tcMar>
              <w:top w:w="0" w:type="dxa"/>
              <w:left w:w="0" w:type="dxa"/>
              <w:bottom w:w="0" w:type="dxa"/>
              <w:right w:w="0" w:type="dxa"/>
            </w:tcMar>
            <w:vAlign w:val="center"/>
          </w:tcPr>
          <w:p>
            <w:pPr>
              <w:pStyle w:val="TableContents"/>
              <w:bidi w:val="0"/>
              <w:spacing w:before="65" w:after="20"/>
              <w:jc w:val="left"/>
              <w:rPr>
                <w:rFonts w:ascii="Times New Roman" w:hAnsi="Times New Roman"/>
                <w:color w:val="000000"/>
                <w:sz w:val="20"/>
              </w:rPr>
            </w:pPr>
            <w:r>
              <w:rPr>
                <w:rFonts w:ascii="Times New Roman" w:hAnsi="Times New Roman"/>
                <w:color w:val="000000"/>
                <w:sz w:val="20"/>
              </w:rPr>
              <w:t>By:</w:t>
            </w:r>
          </w:p>
        </w:tc>
        <w:tc>
          <w:tcPr>
            <w:tcW w:w="648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Brendan Hannah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45" w:after="20"/>
              <w:jc w:val="center"/>
              <w:rPr>
                <w:rFonts w:ascii="Times New Roman" w:hAnsi="Times New Roman"/>
                <w:color w:val="000000"/>
                <w:sz w:val="20"/>
              </w:rPr>
            </w:pPr>
            <w:r>
              <w:rPr>
                <w:rFonts w:ascii="Times New Roman" w:hAnsi="Times New Roman"/>
                <w:color w:val="000000"/>
                <w:sz w:val="20"/>
              </w:rPr>
              <w:t>Brendan Hannah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Chief Business Officer, Chief Operating Officer, and Chief Compliance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1" w:type="dxa"/>
            <w:tcBorders/>
            <w:shd w:fill="FFFFFF" w:val="clear"/>
            <w:tcMar>
              <w:top w:w="0" w:type="dxa"/>
              <w:left w:w="0" w:type="dxa"/>
              <w:bottom w:w="0" w:type="dxa"/>
              <w:right w:w="0" w:type="dxa"/>
            </w:tcMar>
            <w:vAlign w:val="center"/>
          </w:tcPr>
          <w:p>
            <w:pPr>
              <w:pStyle w:val="TableContents"/>
              <w:bidi w:val="0"/>
              <w:spacing w:before="65" w:after="20"/>
              <w:jc w:val="center"/>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62774/000119312519145468/d747357dex31.htm" TargetMode="External"/><Relationship Id="rId3" Type="http://schemas.openxmlformats.org/officeDocument/2006/relationships/hyperlink" Target="https://www.sec.gov/Archives/edgar/data/1662774/000119312522207867/d346512dex31.htm" TargetMode="External"/><Relationship Id="rId4" Type="http://schemas.openxmlformats.org/officeDocument/2006/relationships/hyperlink" Target="https://www.sec.gov/Archives/edgar/data/1662774/000119312522207867/d346512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21356</Words>
  <Characters>117373</Characters>
  <CharactersWithSpaces>139569</CharactersWithSpaces>
  <Paragraphs>5202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