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0394d8k.htm"/>
      <w:bookmarkStart w:id="1" w:name="ksd1603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Item 5.02</w:t>
      </w:r>
      <w:r>
        <w:rPr>
          <w:rFonts w:ascii="Times New Roman" w:hAnsi="Times New Roman"/>
          <w:sz w:val="20"/>
        </w:rPr>
        <w:t xml:space="preserve">. </w:t>
      </w:r>
      <w:r>
        <w:rPr>
          <w:rFonts w:ascii="Times New Roman" w:hAnsi="Times New Roman"/>
          <w:b/>
          <w:sz w:val="20"/>
        </w:rPr>
        <w:t>Departure of Directors or Certain Officers; Election of Directors; Appointment of Certain Officers; Compensatory Arrangements of Certain Officers.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Conditional Resignations of Dirk Thye and Brendan Hannah </w:t>
      </w:r>
    </w:p>
    <w:p>
      <w:pPr>
        <w:pStyle w:val="TextBody"/>
        <w:bidi w:val="0"/>
        <w:spacing w:before="120" w:after="0"/>
        <w:jc w:val="left"/>
        <w:rPr>
          <w:rFonts w:ascii="Times New Roman" w:hAnsi="Times New Roman"/>
          <w:sz w:val="20"/>
        </w:rPr>
      </w:pPr>
      <w:r>
        <w:rPr>
          <w:rFonts w:ascii="Times New Roman" w:hAnsi="Times New Roman"/>
          <w:sz w:val="20"/>
        </w:rPr>
        <w:t>On July 29, 2026, each of Dirk Thye, the Chief Executive Officer and Chief Medical Officer of Quince Therapeutics, Inc. (the “</w:t>
      </w:r>
      <w:r>
        <w:rPr>
          <w:rFonts w:ascii="Times New Roman" w:hAnsi="Times New Roman"/>
          <w:b/>
          <w:i/>
          <w:sz w:val="20"/>
        </w:rPr>
        <w:t>Company</w:t>
      </w:r>
      <w:r>
        <w:rPr>
          <w:rFonts w:ascii="Times New Roman" w:hAnsi="Times New Roman"/>
          <w:sz w:val="20"/>
        </w:rPr>
        <w:t>”), and a member of the Company’s board of directors (the “</w:t>
      </w:r>
      <w:r>
        <w:rPr>
          <w:rFonts w:ascii="Times New Roman" w:hAnsi="Times New Roman"/>
          <w:b/>
          <w:i/>
          <w:sz w:val="20"/>
        </w:rPr>
        <w:t>Board</w:t>
      </w:r>
      <w:r>
        <w:rPr>
          <w:rFonts w:ascii="Times New Roman" w:hAnsi="Times New Roman"/>
          <w:sz w:val="20"/>
        </w:rPr>
        <w:t>”), and Brendan Hannah, the Company’s Chief Operating Officer, Chief Business Officer and Chief Compliance Officer, tendered conditional resignations from their positions with the Company (including, with respect to Mr. Thye, as a member of the Board), in each case effective as of two business days following the conclusion of the Company’s Special Meeting of Stockholders, which is anticipated to be held on September 25, 2026 (the “</w:t>
      </w:r>
      <w:r>
        <w:rPr>
          <w:rFonts w:ascii="Times New Roman" w:hAnsi="Times New Roman"/>
          <w:b/>
          <w:i/>
          <w:sz w:val="20"/>
        </w:rPr>
        <w:t>Special Meeting</w:t>
      </w:r>
      <w:r>
        <w:rPr>
          <w:rFonts w:ascii="Times New Roman" w:hAnsi="Times New Roman"/>
          <w:sz w:val="20"/>
        </w:rPr>
        <w:t>”), and contingent upon the approval by the Company’s stockholders of the following three proposals to be presented at the Special Meeting (the “</w:t>
      </w:r>
      <w:r>
        <w:rPr>
          <w:rFonts w:ascii="Times New Roman" w:hAnsi="Times New Roman"/>
          <w:b/>
          <w:i/>
          <w:sz w:val="20"/>
        </w:rPr>
        <w:t>Effective Time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approve the issuance of shares of the Company’s common stock, upon conversion of the Company’s Series C Preferred Stock and exercise of the warrants issued pursuant to the Company’s acquisition of Orphai Holdings Therapeutics, Inc., a Delaware corporation (“</w:t>
            </w:r>
            <w:r>
              <w:rPr>
                <w:rFonts w:ascii="Times New Roman" w:hAnsi="Times New Roman"/>
                <w:b/>
                <w:i/>
                <w:sz w:val="20"/>
              </w:rPr>
              <w:t>Orphai HoldCo</w:t>
            </w:r>
            <w:r>
              <w:rPr>
                <w:rFonts w:ascii="Times New Roman" w:hAnsi="Times New Roman"/>
                <w:sz w:val="20"/>
              </w:rPr>
              <w:t>”) and Orphai Therapeutics, LLC, a Delaware limited liability company and wholly owned subsidiary of Orphai HoldCo (“</w:t>
            </w:r>
            <w:r>
              <w:rPr>
                <w:rFonts w:ascii="Times New Roman" w:hAnsi="Times New Roman"/>
                <w:b/>
                <w:i/>
                <w:sz w:val="20"/>
              </w:rPr>
              <w:t>Orphai Subsidiary</w:t>
            </w:r>
            <w:r>
              <w:rPr>
                <w:rFonts w:ascii="Times New Roman" w:hAnsi="Times New Roman"/>
                <w:sz w:val="20"/>
              </w:rPr>
              <w:t>” and, together with Orphai HoldCo, “</w:t>
            </w:r>
            <w:r>
              <w:rPr>
                <w:rFonts w:ascii="Times New Roman" w:hAnsi="Times New Roman"/>
                <w:b/>
                <w:i/>
                <w:sz w:val="20"/>
              </w:rPr>
              <w:t>Orphai</w:t>
            </w:r>
            <w:r>
              <w:rPr>
                <w:rFonts w:ascii="Times New Roman" w:hAnsi="Times New Roman"/>
                <w:sz w:val="20"/>
              </w:rPr>
              <w:t>”, and the acquisition of Orphai, the “</w:t>
            </w:r>
            <w:r>
              <w:rPr>
                <w:rFonts w:ascii="Times New Roman" w:hAnsi="Times New Roman"/>
                <w:b/>
                <w:i/>
                <w:sz w:val="20"/>
              </w:rPr>
              <w:t>Acquisition</w:t>
            </w:r>
            <w:r>
              <w:rPr>
                <w:rFonts w:ascii="Times New Roman" w:hAnsi="Times New Roman"/>
                <w:sz w:val="20"/>
              </w:rPr>
              <w:t>”) and the concurrent private placement financing (the “</w:t>
            </w:r>
            <w:r>
              <w:rPr>
                <w:rFonts w:ascii="Times New Roman" w:hAnsi="Times New Roman"/>
                <w:b/>
                <w:i/>
                <w:sz w:val="20"/>
              </w:rPr>
              <w:t>PIPE</w:t>
            </w:r>
            <w:r>
              <w:rPr>
                <w:rFonts w:ascii="Times New Roman" w:hAnsi="Times New Roman"/>
                <w:sz w:val="20"/>
              </w:rPr>
              <w:t>”) and the options to purchase Orphai Subsidiary common stock that were assumed by the Company and converted into options to purchase shares of the Company’s common stock, which will represent more than 20% of the shares of common stock outstanding pursuant to Nasdaq Listing Rule 5635(a) (the “</w:t>
            </w:r>
            <w:r>
              <w:rPr>
                <w:rFonts w:ascii="Times New Roman" w:hAnsi="Times New Roman"/>
                <w:b/>
                <w:i/>
                <w:sz w:val="20"/>
              </w:rPr>
              <w:t>Conversion Proposal</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approve the issuance of shares of the Company’s common stock, upon conversion of the Series C Preferred Stock issued to investors in the PIPE and upon exercise of the warrants issued to investors in the PIPE pursuant to Nasdaq Listing Rule 5635(d) (the “</w:t>
            </w:r>
            <w:r>
              <w:rPr>
                <w:rFonts w:ascii="Times New Roman" w:hAnsi="Times New Roman"/>
                <w:b/>
                <w:i/>
                <w:sz w:val="20"/>
              </w:rPr>
              <w:t>Minimum Price Proposal</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approve an amendment to the Company’s certificate of incorporation to increase the number of authorized shares of the Company’s common stock from 250,000,000 to 275,000,000 (the “</w:t>
            </w:r>
            <w:r>
              <w:rPr>
                <w:rFonts w:ascii="Times New Roman" w:hAnsi="Times New Roman"/>
                <w:b/>
                <w:i/>
                <w:sz w:val="20"/>
              </w:rPr>
              <w:t>Authorized Share Proposal</w:t>
            </w:r>
            <w:r>
              <w:rPr>
                <w:rFonts w:ascii="Times New Roman" w:hAnsi="Times New Roman"/>
                <w:sz w:val="20"/>
              </w:rPr>
              <w:t>” and, together with the Conversion Proposal and the Minimum Price Proposal, the “</w:t>
            </w:r>
            <w:r>
              <w:rPr>
                <w:rFonts w:ascii="Times New Roman" w:hAnsi="Times New Roman"/>
                <w:b/>
                <w:i/>
                <w:sz w:val="20"/>
              </w:rPr>
              <w:t>Required Company Stockholder Matters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For a description of the Conversion Proposal, the Minimum Price Proposal and the Authorized Share Proposal, please refer to the Company’s preliminary proxy statement on Schedule 14A filed with the Securities and Exchange Commission (the “</w:t>
      </w:r>
      <w:r>
        <w:rPr>
          <w:rFonts w:ascii="Times New Roman" w:hAnsi="Times New Roman"/>
          <w:b/>
          <w:i/>
          <w:sz w:val="20"/>
        </w:rPr>
        <w:t>SEC</w:t>
      </w:r>
      <w:r>
        <w:rPr>
          <w:rFonts w:ascii="Times New Roman" w:hAnsi="Times New Roman"/>
          <w:sz w:val="20"/>
        </w:rPr>
        <w:t>”) on July 31, 2026 (the “</w:t>
      </w:r>
      <w:r>
        <w:rPr>
          <w:rFonts w:ascii="Times New Roman" w:hAnsi="Times New Roman"/>
          <w:b/>
          <w:i/>
          <w:sz w:val="20"/>
        </w:rPr>
        <w:t>Preliminary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their conditional resignations, and provided that each of Mr. Thye and Mr. Hannah remain employed with the Company through the date of the Special Meeting, each of Mr. Thye and Mr. Hannah remain entitled to receive the retention bonuses previously described in the Company’s Current Report on Form 8-K filed with the SEC on May 18, 2026, and any severance amounts payable in connection with their resignations under their current severance agreements with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Conditional Appointments of Brigette Roberts, John Militello and Keith Fandrick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foregoing, on July 29, 2026, the Board approved the following conditional appointments, each to become effective at the Effective Time: </w:t>
      </w:r>
    </w:p>
    <w:p>
      <w:pPr>
        <w:pStyle w:val="TextBody"/>
        <w:bidi w:val="0"/>
        <w:spacing w:before="240" w:after="0"/>
        <w:jc w:val="left"/>
        <w:rPr>
          <w:rFonts w:ascii="Times New Roman" w:hAnsi="Times New Roman"/>
          <w:sz w:val="20"/>
        </w:rPr>
      </w:pPr>
      <w:r>
        <w:rPr>
          <w:rFonts w:ascii="Times New Roman" w:hAnsi="Times New Roman"/>
          <w:b/>
          <w:i/>
          <w:sz w:val="20"/>
        </w:rPr>
        <w:t>Brigette Roberts, M.D.</w:t>
      </w:r>
      <w:r>
        <w:rPr>
          <w:rFonts w:ascii="Times New Roman" w:hAnsi="Times New Roman"/>
          <w:sz w:val="20"/>
        </w:rPr>
        <w:t xml:space="preserve">, age 50, was conditionally appointed as the Company’s Chief Executive Officer and will serve as the Company’s Principal Executive Officer upon her appointment. Dr. Roberts has served as the Company’s Chief of Corporate Affairs and member of the Company’s Board since the closing of the Acquisition. Prior to that, she served as the Chief Executive Officer and member of the Board of Directors of Orphai from May 2021 until the closing of the Acquisition, and prior to that she served as the Chief Medical Officer of Orphai from February 2021 until May 2021. Dr. Roberts holds a B.A. in Physics and Chemistry from Harvard University and an M.D. from New York University.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John Militello, CPA</w:t>
      </w:r>
      <w:r>
        <w:rPr>
          <w:rFonts w:ascii="Times New Roman" w:hAnsi="Times New Roman"/>
          <w:sz w:val="20"/>
        </w:rPr>
        <w:t xml:space="preserve">, age 52, was conditionally appointed as the Company’s Chief Financial Officer and will serve as the Company’s Principal Financial Officer and Principal Accounting Officer upon his appointment. Mr. Militello has served as Head of Finance of Orphai Therapeutics, LLC since July 2026. Before joining the Company, Mr. Militello served as VP of Finance, Sr. Controller, Treasurer and Principal Accounting Officer of Rocket Pharmaceuticals, Inc., a publicly traded gene therapy company, from January 2018 to July 2026. Mr. Militello was also the Interim Principal Financial Officer of Rocket Pharmaceuticals, Inc. from January 2018 to December 2020 and March 2022 to March 2024. Previously, Mr. Militello served as the Vice President of Finance and Principal Financial and Accounting Officer at Immune Pharmaceuticals Inc. from April 2015 to November 2017. Prior to that, Mr. Militello was an Assistant Controller at Travere Therapeutics, formerly Retrophin, Inc., a publicly traded biotechnology company, and a Senior Manager in the biotech practice of BDO USA, LLP serving multi-national SEC registrants. Mr. Militello is a Certified Public Accountant and earned his Bachelor of Science degree in Accounting from St. Joseph’s College. </w:t>
      </w:r>
    </w:p>
    <w:p>
      <w:pPr>
        <w:pStyle w:val="TextBody"/>
        <w:bidi w:val="0"/>
        <w:spacing w:before="240" w:after="0"/>
        <w:jc w:val="left"/>
        <w:rPr>
          <w:rFonts w:ascii="Times New Roman" w:hAnsi="Times New Roman"/>
          <w:sz w:val="20"/>
        </w:rPr>
      </w:pPr>
      <w:r>
        <w:rPr>
          <w:rFonts w:ascii="Times New Roman" w:hAnsi="Times New Roman"/>
          <w:b/>
          <w:i/>
          <w:sz w:val="20"/>
        </w:rPr>
        <w:t>Keith R. Fandrick, Ph.D.</w:t>
      </w:r>
      <w:r>
        <w:rPr>
          <w:rFonts w:ascii="Times New Roman" w:hAnsi="Times New Roman"/>
          <w:sz w:val="20"/>
        </w:rPr>
        <w:t xml:space="preserve">, age 47, was conditionally appointed as the Company’s Chief Operating Officer. Dr. Fandrick has served as the Company’s Head of Technical Operations since the Acquisition. Prior to that time, Dr. Fandrick served as Chief Operating Officer of Orphai, where he led operations, chemistry, manufacturing and controls, program management, regulatory strategy, external manufacturing and intellectual property activities for clinical-stage therapeutic programs since 2017, and he previously served in various other roles at Orphai, including as Chief Development Officer and Head of CMC. Previously, Dr. Fandrick served as a member of the Scientific Advisory Board of Drug Farm, Inc., where he advised on pharmaceutical development and CMC strategy. From 2007 to 2017, Dr. Fandrick held positions of increasing responsibility at Boehringer-Ingelheim. Dr. Fandrick is an author or co-author of 78 publications and patents. He holds Ph.D. and A.M. degrees in chemistry from Harvard University, an M.B.A. from the University of North Carolina at Chapel Hill’s Kenan-Flagler Business School, a B.S. in chemistry from the University of California, San Diego, and a Regulatory Affairs Certification.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Drs. Roberts and Fandrick and Mr. Militello and any of the executive officers or directors of the Company. There are no arrangements or understandings between Drs. Roberts and Fandrick and Mr. Militello and any other person pursuant to which either was appointed as an executive officer of the Company. None of Drs. Roberts and Fandrick and Mr. Militello is a party to any transaction required to be disclosed pursuant to Item 404(a) of Regulation S-K. </w:t>
      </w:r>
    </w:p>
    <w:p>
      <w:pPr>
        <w:pStyle w:val="TextBody"/>
        <w:bidi w:val="0"/>
        <w:spacing w:before="360" w:after="0"/>
        <w:jc w:val="left"/>
        <w:rPr>
          <w:rFonts w:ascii="Times New Roman" w:hAnsi="Times New Roman"/>
          <w:i/>
          <w:sz w:val="20"/>
        </w:rPr>
      </w:pPr>
      <w:r>
        <w:rPr>
          <w:rFonts w:ascii="Times New Roman" w:hAnsi="Times New Roman"/>
          <w:i/>
          <w:sz w:val="20"/>
        </w:rPr>
        <w:t xml:space="preserve">Reduction in Size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approved a reduction in the size of the Board from five directors to four directors immediately upon effectiveness of Dr. Thye’s resignation. The Board continues to consider potential director candidates and intends to appoint an independent director to the Board.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4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230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1895" w:type="dxa"/>
            <w:tcBorders/>
            <w:vAlign w:val="center"/>
          </w:tcPr>
          <w:p>
            <w:pPr>
              <w:pStyle w:val="TableContents"/>
              <w:bidi w:val="0"/>
              <w:spacing w:before="0" w:after="283"/>
              <w:jc w:val="left"/>
              <w:rPr/>
            </w:pPr>
            <w:r>
              <w:rPr/>
              <w:t>Date: July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1499</Words>
  <Characters>8360</Characters>
  <CharactersWithSpaces>9857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