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1747d8k.htm"/>
      <w:bookmarkStart w:id="1" w:name="ksd17174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001-38890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90-1024039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611 Gateway Boulevard, Suite 273</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South San Francisco,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94080</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(415) 910-5717</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245"/>
        <w:gridCol w:w="9020"/>
      </w:tblGrid>
      <w:tr>
        <w:trPr/>
        <w:tc>
          <w:tcPr>
            <w:tcW w:w="245"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240.13d-4(c))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30" w:type="dxa"/>
        <w:jc w:val="left"/>
        <w:tblInd w:w="0" w:type="dxa"/>
        <w:tblLayout w:type="fixed"/>
        <w:tblCellMar>
          <w:top w:w="0" w:type="dxa"/>
          <w:left w:w="0" w:type="dxa"/>
          <w:bottom w:w="0" w:type="dxa"/>
          <w:right w:w="0" w:type="dxa"/>
        </w:tblCellMar>
      </w:tblPr>
      <w:tblGrid>
        <w:gridCol w:w="4145"/>
        <w:gridCol w:w="60"/>
        <w:gridCol w:w="740"/>
        <w:gridCol w:w="60"/>
        <w:gridCol w:w="282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QNCX</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On September 30, 2026, each of June Bray, David Lamond and Christopher Senner (collectively, the “</w:t>
      </w:r>
      <w:r>
        <w:rPr>
          <w:rFonts w:ascii="Times New Roman" w:hAnsi="Times New Roman"/>
          <w:b/>
          <w:i/>
          <w:sz w:val="20"/>
        </w:rPr>
        <w:t>Resigning Directors</w:t>
      </w:r>
      <w:r>
        <w:rPr>
          <w:rFonts w:ascii="Times New Roman" w:hAnsi="Times New Roman"/>
          <w:sz w:val="20"/>
        </w:rPr>
        <w:t>”) tendered conditional resignations from the Board of Directors (the “</w:t>
      </w:r>
      <w:r>
        <w:rPr>
          <w:rFonts w:ascii="Times New Roman" w:hAnsi="Times New Roman"/>
          <w:b/>
          <w:i/>
          <w:sz w:val="20"/>
        </w:rPr>
        <w:t>Board</w:t>
      </w:r>
      <w:r>
        <w:rPr>
          <w:rFonts w:ascii="Times New Roman" w:hAnsi="Times New Roman"/>
          <w:sz w:val="20"/>
        </w:rPr>
        <w:t>”) of Quince Therapeutics, Inc. (the “</w:t>
      </w:r>
      <w:r>
        <w:rPr>
          <w:rFonts w:ascii="Times New Roman" w:hAnsi="Times New Roman"/>
          <w:b/>
          <w:i/>
          <w:sz w:val="20"/>
        </w:rPr>
        <w:t>Company</w:t>
      </w:r>
      <w:r>
        <w:rPr>
          <w:rFonts w:ascii="Times New Roman" w:hAnsi="Times New Roman"/>
          <w:sz w:val="20"/>
        </w:rPr>
        <w:t>”), in each case effective as of two business days following the conclusion of the Company’s Special Meeting of Stockholders, which will be held on October 6, 2026 (the “</w:t>
      </w:r>
      <w:r>
        <w:rPr>
          <w:rFonts w:ascii="Times New Roman" w:hAnsi="Times New Roman"/>
          <w:b/>
          <w:i/>
          <w:sz w:val="20"/>
        </w:rPr>
        <w:t>Special Meeting</w:t>
      </w:r>
      <w:r>
        <w:rPr>
          <w:rFonts w:ascii="Times New Roman" w:hAnsi="Times New Roman"/>
          <w:sz w:val="20"/>
        </w:rPr>
        <w:t>”), and contingent upon the approval by the Company’s stockholders of the following three proposals to be presented at the Special Meeting (the “</w:t>
      </w:r>
      <w:r>
        <w:rPr>
          <w:rFonts w:ascii="Times New Roman" w:hAnsi="Times New Roman"/>
          <w:b/>
          <w:i/>
          <w:sz w:val="20"/>
        </w:rPr>
        <w:t>Effective Time</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 approve the issuance of shares of the Company’s common stock, par value $0.001 per share (the “</w:t>
            </w:r>
            <w:r>
              <w:rPr>
                <w:rFonts w:ascii="Times New Roman" w:hAnsi="Times New Roman"/>
                <w:b/>
                <w:i/>
                <w:sz w:val="20"/>
              </w:rPr>
              <w:t>Common Stock</w:t>
            </w:r>
            <w:r>
              <w:rPr>
                <w:rFonts w:ascii="Times New Roman" w:hAnsi="Times New Roman"/>
                <w:sz w:val="20"/>
              </w:rPr>
              <w:t>”) upon conversion of the Company’s Series C Non-Voting Convertible Preferred Stock, par value $0.001 per share (the “</w:t>
            </w:r>
            <w:r>
              <w:rPr>
                <w:rFonts w:ascii="Times New Roman" w:hAnsi="Times New Roman"/>
                <w:b/>
                <w:i/>
                <w:sz w:val="20"/>
              </w:rPr>
              <w:t>Series C Preferred Stock</w:t>
            </w:r>
            <w:r>
              <w:rPr>
                <w:rFonts w:ascii="Times New Roman" w:hAnsi="Times New Roman"/>
                <w:sz w:val="20"/>
              </w:rPr>
              <w:t>”) and exercise of warrants to purchase shares of Series C Preferred Stock and options to purchase shares of common stock of Orphai Therapeutics, LLC, which (a) will represent more than 20% of the shares of common stock outstanding pursuant to Nasdaq Listing Rule 5635(a) and (b) may, together with certain changes to management and the Board, result in the change of control of the Company pursuant to Nasdaq Listing Rule 5635(b) (the “</w:t>
            </w:r>
            <w:r>
              <w:rPr>
                <w:rFonts w:ascii="Times New Roman" w:hAnsi="Times New Roman"/>
                <w:b/>
                <w:i/>
                <w:sz w:val="20"/>
              </w:rPr>
              <w:t>Conversion Proposal</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 approve the issuance of shares of Common Stock, upon conversion of Series C Preferred Stock and upon exercise of warrants to purchase shares of Series C Preferred Stock, each issued in a private placement, pursuant to Nasdaq Listing Rule 5635(d) (the “</w:t>
            </w:r>
            <w:r>
              <w:rPr>
                <w:rFonts w:ascii="Times New Roman" w:hAnsi="Times New Roman"/>
                <w:b/>
                <w:i/>
                <w:sz w:val="20"/>
              </w:rPr>
              <w:t>Minimum Price Proposal</w:t>
            </w:r>
            <w:r>
              <w:rPr>
                <w:rFonts w:ascii="Times New Roman" w:hAnsi="Times New Roman"/>
                <w:sz w:val="20"/>
              </w:rPr>
              <w:t xml:space="preserv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 approve an amendment to the Company’s certificate of incorporation to increase the number of authorized shares of Common Stock from 250,000,000 to 275,000,000 (the “</w:t>
            </w:r>
            <w:r>
              <w:rPr>
                <w:rFonts w:ascii="Times New Roman" w:hAnsi="Times New Roman"/>
                <w:b/>
                <w:i/>
                <w:sz w:val="20"/>
              </w:rPr>
              <w:t>Authorized Shares Proposal</w:t>
            </w:r>
            <w:r>
              <w:rPr>
                <w:rFonts w:ascii="Times New Roman" w:hAnsi="Times New Roman"/>
                <w:sz w:val="20"/>
              </w:rPr>
              <w:t>”, and together with the Conversion Proposal and the Minimum Price Proposal, the “</w:t>
            </w:r>
            <w:r>
              <w:rPr>
                <w:rFonts w:ascii="Times New Roman" w:hAnsi="Times New Roman"/>
                <w:b/>
                <w:i/>
                <w:sz w:val="20"/>
              </w:rPr>
              <w:t>Required Company Stockholder Proposals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For a description of the Conversion Proposal, the Minimum Price Proposal and the Authorized Shares Proposal, please refer to the Company’s definitive proxy statement on Schedule 14A filed with the Securities and Exchange Commission on August 25, 2026 (the “</w:t>
      </w:r>
      <w:r>
        <w:rPr>
          <w:rFonts w:ascii="Times New Roman" w:hAnsi="Times New Roman"/>
          <w:b/>
          <w:i/>
          <w:sz w:val="20"/>
        </w:rPr>
        <w:t>Definitive Proxy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decisions of the Resigning Directors to resign were not the result of any disagreement with the Company on any matter relating the Company’s operations, policies, or practices.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Conditional Appointments of New Directors </w:t>
      </w:r>
    </w:p>
    <w:p>
      <w:pPr>
        <w:pStyle w:val="TextBody"/>
        <w:bidi w:val="0"/>
        <w:spacing w:before="120" w:after="0"/>
        <w:jc w:val="left"/>
        <w:rPr>
          <w:rFonts w:ascii="Times New Roman" w:hAnsi="Times New Roman"/>
          <w:sz w:val="20"/>
        </w:rPr>
      </w:pPr>
      <w:r>
        <w:rPr>
          <w:rFonts w:ascii="Times New Roman" w:hAnsi="Times New Roman"/>
          <w:sz w:val="20"/>
        </w:rPr>
        <w:t>In connection with the foregoing, on October 1, 2026, the Board approved the conditional appointments of each of Catherine Bonuccelli, Leone Patterson, James Valentine and Drayton Wise (collectively, the “</w:t>
      </w:r>
      <w:r>
        <w:rPr>
          <w:rFonts w:ascii="Times New Roman" w:hAnsi="Times New Roman"/>
          <w:b/>
          <w:i/>
          <w:sz w:val="20"/>
        </w:rPr>
        <w:t>Incoming Directors</w:t>
      </w:r>
      <w:r>
        <w:rPr>
          <w:rFonts w:ascii="Times New Roman" w:hAnsi="Times New Roman"/>
          <w:sz w:val="20"/>
        </w:rPr>
        <w:t xml:space="preserve">”) to the Board, effective as of the Effective Time. Upon the effectiveness of the respective appointments, it is expected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Bonuccelli will serve as a Class I director and as member of the Audit Committee and Compensation Committee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Patterson will serve as a Class III director and as chair of the Audit Committee and as chair of the Compensation Committee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Valentine will serve as a Class I director and as a member of the Audit Committee and as chair of the Nominating and Corporate Governance Committee of the Board;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Wise will serve as a Class II director and as a member of the Nominating and Corporate Governance Committee of the Board.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Catherine M. Bonuccelli, M.D., age 68 </w:t>
      </w:r>
    </w:p>
    <w:p>
      <w:pPr>
        <w:pStyle w:val="TextBody"/>
        <w:bidi w:val="0"/>
        <w:spacing w:before="120" w:after="0"/>
        <w:jc w:val="left"/>
        <w:rPr>
          <w:rFonts w:ascii="Times New Roman" w:hAnsi="Times New Roman"/>
          <w:sz w:val="20"/>
        </w:rPr>
      </w:pPr>
      <w:r>
        <w:rPr>
          <w:rFonts w:ascii="Times New Roman" w:hAnsi="Times New Roman"/>
          <w:sz w:val="20"/>
        </w:rPr>
        <w:t xml:space="preserve">Dr. Bonuccelli has served as principal and owner of CMB Life Sciences Consulting LLC since May 2024. Previously, Dr. Bonuccelli served as Chief Medical Officer of Bellus Health (acquired by GSK plc (NYSE: GSK) in 2023) from August 2019 to April 2024, where she advanced an asset for refractory chronic cough into Phase 3 prior to the company’s acquisition. Prior to Bellus Health, she spent more than 25 years in large pharmaceutical companies in a broad variety of roles of increasing responsibility, including Global Medicines Clinical Vice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President for the Inflammation, Neuroscience, &amp; Respiratory Therapeutic Area and Therapy Area Clinical Vice President, Respiratory and Inflammation, at AstraZeneca plc (NASDAQ: AZN), and US Respiratory Therapeutic Area Head at GlaxoSmithKline (now GSK plc (NYSE: GSK)). Dr. Bonuccelli has over 25 years of pharmaceutical experience and expertise in clinical and product development of both respiratory and non-respiratory products across all phases of drug development. Dr. Bonuccelli holds a B.S. in Chemistry from Georgetown University and an M.D. from the Johns Hopkins University School of Medicine. We believe that Dr. Bonuccelli’s extensive clinical and pharmaceutical product development experience qualifies her to serve as a director. </w:t>
      </w:r>
    </w:p>
    <w:p>
      <w:pPr>
        <w:pStyle w:val="TextBody"/>
        <w:bidi w:val="0"/>
        <w:spacing w:before="360" w:after="0"/>
        <w:jc w:val="left"/>
        <w:rPr>
          <w:rFonts w:ascii="Times New Roman" w:hAnsi="Times New Roman"/>
          <w:i/>
          <w:sz w:val="20"/>
        </w:rPr>
      </w:pPr>
      <w:r>
        <w:rPr>
          <w:rFonts w:ascii="Times New Roman" w:hAnsi="Times New Roman"/>
          <w:i/>
          <w:sz w:val="20"/>
        </w:rPr>
        <w:t xml:space="preserve">Leone Patterson, age 63 </w:t>
      </w:r>
    </w:p>
    <w:p>
      <w:pPr>
        <w:pStyle w:val="TextBody"/>
        <w:bidi w:val="0"/>
        <w:spacing w:before="120" w:after="0"/>
        <w:jc w:val="left"/>
        <w:rPr>
          <w:rFonts w:ascii="Times New Roman" w:hAnsi="Times New Roman"/>
          <w:sz w:val="20"/>
        </w:rPr>
      </w:pPr>
      <w:r>
        <w:rPr>
          <w:rFonts w:ascii="Times New Roman" w:hAnsi="Times New Roman"/>
          <w:sz w:val="20"/>
        </w:rPr>
        <w:t xml:space="preserve">Ms. Patterson served as Executive Vice President, Chief Business Officer and Chief Financial Officer of Zymeworks, Inc. (NASDAQ: ZYME), a biotechnology company focused on developing novel, multifunctional biotherapeutics for difficult-to-treat diseases, from September 2024 to January 2026. Previously, Ms. Patterson served as Chief Financial Officer and Chief Business Officer of Tenaya Therapeutics, Inc. (NASDAQ: TNYA) from June 2021 to July 2024. Earlier in her career, she held several roles at Adverum Biotechnologies, Inc., including Chief Financial Officer from June 2016 to May 2018, Chief Executive Officer from May 2018 to June 2022, and President and Chief Financial Officer from December 2019 to May 2021 as well as at Diadexus, Inc. and Transcept Pharmaceuticals, Inc. Earlier in her career, she served in financial leadership roles at NetApp, Inc. (NASDAQ: NTAP), Exelixis, Inc. (NASDAQ: EXEL), Novartis AG (NYSE: NVS) and Chiron Corporation. Ms. Patterson has served as a director and chair of the audit committee of Kalaris Therapeutics, Inc. (NASDAQ: KLRS) since April 2025. Ms. Patterson has served as a director and chair of the audit committee of Nkarta, Inc. (NASDAQ: NKTX) since April 2020. Ms. Patterson also served as a director and member of the audit committee of Oxford Biomedica (UK) Limited from May 2023 to December 2024. Ms. Patterson also served on the board of directors, as chair of the audit committee, and as a member of the nominating and corporate governance committee, of Eliem Therapeutics, Inc. from June 2020 to January 2023 (Eliem Therapeutics subsequently changed its name to Climb Bio, Inc., which now trades on Nasdaq under the symbol CLYM). Ms. Patterson also served on the board of directors of Adverum Biotechnologies, Inc. from October 2018 to June 2020. Ms. Patterson earned a B.S. in Business Administration and Accounting from Chapman University and an Executive MBA from Saint Mary’s College, and is a Certified Public Accountant (inactive status). We believe that Ms. Patterson’s extensive public company financial leadership, governance and audit committee experience in the biopharmaceutical industry qualifies her to serve as a director. </w:t>
      </w:r>
    </w:p>
    <w:p>
      <w:pPr>
        <w:pStyle w:val="TextBody"/>
        <w:bidi w:val="0"/>
        <w:spacing w:before="360" w:after="0"/>
        <w:jc w:val="left"/>
        <w:rPr>
          <w:rFonts w:ascii="Times New Roman" w:hAnsi="Times New Roman"/>
          <w:i/>
          <w:sz w:val="20"/>
        </w:rPr>
      </w:pPr>
      <w:r>
        <w:rPr>
          <w:rFonts w:ascii="Times New Roman" w:hAnsi="Times New Roman"/>
          <w:i/>
          <w:sz w:val="20"/>
        </w:rPr>
        <w:t xml:space="preserve">James Valentine, age 40 </w:t>
      </w:r>
    </w:p>
    <w:p>
      <w:pPr>
        <w:pStyle w:val="TextBody"/>
        <w:bidi w:val="0"/>
        <w:spacing w:before="120" w:after="0"/>
        <w:jc w:val="left"/>
        <w:rPr>
          <w:rFonts w:ascii="Times New Roman" w:hAnsi="Times New Roman"/>
          <w:sz w:val="20"/>
        </w:rPr>
      </w:pPr>
      <w:r>
        <w:rPr>
          <w:rFonts w:ascii="Times New Roman" w:hAnsi="Times New Roman"/>
          <w:sz w:val="20"/>
        </w:rPr>
        <w:t xml:space="preserve">Mr. Valentine has served as a Director of Hyman, Phelps &amp; McNamara, P.C., a law firm specializing in food and drug law, since January 2023, and previously served as an Associate of the firm from May 2014 to December 2022. His practice focuses on regulatory matters relating to the development and approval of drugs and biologics, with particular expertise in rare disease drug development and patient-focused drug development. Prior to joining Hyman, Phelps &amp; McNamara, Mr. Valentine held positions at the U.S. Food and Drug Administration, including in the Office of Special Health Issues and the Center for Drug Evaluation and Research’s Office of Regulatory Policy. Mr. Valentine has served on the Board of Directors of the RARE Foundation, formerly the EveryLife Foundation for Rare Diseases, since January 2026 and as Vice Chair since June 2026. Mr. Valentine holds a J.D. from the University of Maryland Francis King Carey School of Law, an M.H.S. from the Johns Hopkins Bloomberg School of Public Health, and a B.A. from the University of Maryland, Baltimore County. We believe that Mr. Valentine’s extensive regulatory and legal experience in rare disease drug development qualifies him to serve as a director. </w:t>
      </w:r>
    </w:p>
    <w:p>
      <w:pPr>
        <w:pStyle w:val="TextBody"/>
        <w:bidi w:val="0"/>
        <w:spacing w:before="360" w:after="0"/>
        <w:jc w:val="left"/>
        <w:rPr>
          <w:rFonts w:ascii="Times New Roman" w:hAnsi="Times New Roman"/>
          <w:i/>
          <w:sz w:val="20"/>
        </w:rPr>
      </w:pPr>
      <w:r>
        <w:rPr>
          <w:rFonts w:ascii="Times New Roman" w:hAnsi="Times New Roman"/>
          <w:i/>
          <w:sz w:val="20"/>
        </w:rPr>
        <w:t xml:space="preserve">Drayton Wise, age 51 </w:t>
      </w:r>
    </w:p>
    <w:p>
      <w:pPr>
        <w:pStyle w:val="TextBody"/>
        <w:bidi w:val="0"/>
        <w:spacing w:before="120" w:after="0"/>
        <w:jc w:val="left"/>
        <w:rPr>
          <w:rFonts w:ascii="Times New Roman" w:hAnsi="Times New Roman"/>
          <w:sz w:val="20"/>
        </w:rPr>
      </w:pPr>
      <w:r>
        <w:rPr>
          <w:rFonts w:ascii="Times New Roman" w:hAnsi="Times New Roman"/>
          <w:sz w:val="20"/>
        </w:rPr>
        <w:t xml:space="preserve">Mr. Wise served at Insmed Incorporated (NASDAQ: INSM) from February 2014 to April 2025, including as Chief Commercial Officer from May 2022 to April 2025, where he led the global launch of ARIKAYCE across the United States, Europe and Japan, establishing it as one of the top ten non-oncology rare disease launches in the United States, and oversaw commercialization strategy, team buildout, launch readiness and cross-regional execution. Prior to Insmed, Mr. Wise held senior leadership roles at Novartis AG (NYSE: NVS) from 1999 to 2014, including as National Director, Cystic Fibrosis Sales &amp; Account Management from June 2012 to February 2014. During his tenure at Novartis, he contributed to the launch of 14 products across multiple disease areas, including Tobi Podhaler. Mr. Wise has 25 years of leadership experience in global biopharmaceuticals and rare disease commercialization, with a strong focus on rare pulmonary diseases. Mr. Wise holds a B.A. in Business from The Citadel and an M.B.A. from Emory University. We believe that Mr. Wise’s extensive commercial leadership experience in the biopharmaceutical and rare disease industries qualifies him to serve as a director.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 are no arrangements or understandings between any of the Incoming Directors and any other person pursuant to which he or she has been appointed as a director. There are no transactions between the Company and any of the Incoming Directors that would be required to be reported under Item 404(a)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enter into its standard form of indemnification agreement with each of the Incoming Directors upon the effectiveness of their respective appointments. </w:t>
      </w:r>
    </w:p>
    <w:p>
      <w:pPr>
        <w:pStyle w:val="TextBody"/>
        <w:bidi w:val="0"/>
        <w:spacing w:before="360" w:after="0"/>
        <w:jc w:val="left"/>
        <w:rPr>
          <w:rFonts w:ascii="Times New Roman" w:hAnsi="Times New Roman"/>
          <w:i/>
          <w:sz w:val="20"/>
        </w:rPr>
      </w:pPr>
      <w:r>
        <w:rPr>
          <w:rFonts w:ascii="Times New Roman" w:hAnsi="Times New Roman"/>
          <w:i/>
          <w:sz w:val="20"/>
        </w:rPr>
        <w:t xml:space="preserve">Composition of the Committees of the Board </w:t>
      </w:r>
    </w:p>
    <w:p>
      <w:pPr>
        <w:pStyle w:val="TextBody"/>
        <w:bidi w:val="0"/>
        <w:spacing w:before="120" w:after="0"/>
        <w:jc w:val="left"/>
        <w:rPr>
          <w:rFonts w:ascii="Times New Roman" w:hAnsi="Times New Roman"/>
          <w:sz w:val="20"/>
        </w:rPr>
      </w:pPr>
      <w:r>
        <w:rPr>
          <w:rFonts w:ascii="Times New Roman" w:hAnsi="Times New Roman"/>
          <w:sz w:val="20"/>
        </w:rPr>
        <w:t xml:space="preserve">Based on the foregoing, effective as of the Effective Time and contingent on the appointments of the Incoming Directors, it is expected that the membership of the three standing committees of the Board will be as follows: </w:t>
      </w:r>
    </w:p>
    <w:p>
      <w:pPr>
        <w:pStyle w:val="TextBody"/>
        <w:bidi w:val="0"/>
        <w:spacing w:before="0" w:after="0"/>
        <w:jc w:val="left"/>
        <w:rPr/>
      </w:pPr>
      <w:r>
        <w:rPr/>
        <w:t> </w:t>
      </w:r>
    </w:p>
    <w:tbl>
      <w:tblPr>
        <w:tblW w:w="7140" w:type="dxa"/>
        <w:jc w:val="left"/>
        <w:tblInd w:w="0" w:type="dxa"/>
        <w:tblLayout w:type="fixed"/>
        <w:tblCellMar>
          <w:top w:w="0" w:type="dxa"/>
          <w:left w:w="0" w:type="dxa"/>
          <w:bottom w:w="0" w:type="dxa"/>
          <w:right w:w="0" w:type="dxa"/>
        </w:tblCellMar>
      </w:tblPr>
      <w:tblGrid>
        <w:gridCol w:w="2300"/>
        <w:gridCol w:w="120"/>
        <w:gridCol w:w="2285"/>
        <w:gridCol w:w="120"/>
        <w:gridCol w:w="2315"/>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r>
      <w:tr>
        <w:trPr/>
        <w:tc>
          <w:tcPr>
            <w:tcW w:w="23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Audit Committee</w:t>
            </w:r>
          </w:p>
        </w:tc>
        <w:tc>
          <w:tcPr>
            <w:tcW w:w="120" w:type="dxa"/>
            <w:tcBorders/>
            <w:vAlign w:val="center"/>
          </w:tcPr>
          <w:p>
            <w:pPr>
              <w:pStyle w:val="TableContents"/>
              <w:bidi w:val="0"/>
              <w:spacing w:before="0" w:after="283"/>
              <w:jc w:val="left"/>
              <w:rPr/>
            </w:pPr>
            <w:r>
              <w:rPr/>
              <w:t>  </w:t>
            </w:r>
          </w:p>
        </w:tc>
        <w:tc>
          <w:tcPr>
            <w:tcW w:w="22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Compensation Committee</w:t>
            </w:r>
          </w:p>
        </w:tc>
        <w:tc>
          <w:tcPr>
            <w:tcW w:w="120" w:type="dxa"/>
            <w:tcBorders/>
            <w:vAlign w:val="center"/>
          </w:tcPr>
          <w:p>
            <w:pPr>
              <w:pStyle w:val="TableContents"/>
              <w:bidi w:val="0"/>
              <w:spacing w:before="0" w:after="283"/>
              <w:jc w:val="left"/>
              <w:rPr/>
            </w:pPr>
            <w:r>
              <w:rPr/>
              <w:t>  </w:t>
            </w:r>
          </w:p>
        </w:tc>
        <w:tc>
          <w:tcPr>
            <w:tcW w:w="23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Nominating and Corporate</w:t>
            </w:r>
          </w:p>
          <w:p>
            <w:pPr>
              <w:pStyle w:val="TableContents"/>
              <w:bidi w:val="0"/>
              <w:spacing w:before="0" w:after="20"/>
              <w:jc w:val="center"/>
              <w:rPr>
                <w:rFonts w:ascii="Times New Roman" w:hAnsi="Times New Roman"/>
                <w:b/>
                <w:sz w:val="16"/>
              </w:rPr>
            </w:pPr>
            <w:r>
              <w:rPr>
                <w:rFonts w:ascii="Times New Roman" w:hAnsi="Times New Roman"/>
                <w:b/>
                <w:sz w:val="16"/>
              </w:rPr>
              <w:t>Governance Committee</w:t>
            </w:r>
          </w:p>
        </w:tc>
      </w:tr>
      <w:tr>
        <w:trPr/>
        <w:tc>
          <w:tcPr>
            <w:tcW w:w="2300" w:type="dxa"/>
            <w:tcBorders/>
            <w:vAlign w:val="center"/>
          </w:tcPr>
          <w:p>
            <w:pPr>
              <w:pStyle w:val="TableContents"/>
              <w:bidi w:val="0"/>
              <w:spacing w:before="0" w:after="283"/>
              <w:jc w:val="left"/>
              <w:rPr/>
            </w:pPr>
            <w:r>
              <w:rPr/>
              <w:t>Leone Patterson (Chair)</w:t>
            </w:r>
          </w:p>
        </w:tc>
        <w:tc>
          <w:tcPr>
            <w:tcW w:w="12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Leone Patterson (Chair)</w:t>
            </w:r>
          </w:p>
        </w:tc>
        <w:tc>
          <w:tcPr>
            <w:tcW w:w="12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James Valentine (Chair)</w:t>
            </w:r>
          </w:p>
        </w:tc>
      </w:tr>
      <w:tr>
        <w:trPr/>
        <w:tc>
          <w:tcPr>
            <w:tcW w:w="2300" w:type="dxa"/>
            <w:tcBorders/>
            <w:vAlign w:val="center"/>
          </w:tcPr>
          <w:p>
            <w:pPr>
              <w:pStyle w:val="TableContents"/>
              <w:bidi w:val="0"/>
              <w:spacing w:before="0" w:after="283"/>
              <w:jc w:val="left"/>
              <w:rPr/>
            </w:pPr>
            <w:r>
              <w:rPr/>
              <w:t>Catherine Bonuccelli</w:t>
            </w:r>
          </w:p>
        </w:tc>
        <w:tc>
          <w:tcPr>
            <w:tcW w:w="12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Catherine Bonuccelli</w:t>
            </w:r>
          </w:p>
        </w:tc>
        <w:tc>
          <w:tcPr>
            <w:tcW w:w="12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Drayton Wise</w:t>
            </w:r>
          </w:p>
        </w:tc>
      </w:tr>
      <w:tr>
        <w:trPr/>
        <w:tc>
          <w:tcPr>
            <w:tcW w:w="2300" w:type="dxa"/>
            <w:tcBorders/>
            <w:vAlign w:val="center"/>
          </w:tcPr>
          <w:p>
            <w:pPr>
              <w:pStyle w:val="TableContents"/>
              <w:bidi w:val="0"/>
              <w:spacing w:before="0" w:after="283"/>
              <w:jc w:val="left"/>
              <w:rPr/>
            </w:pPr>
            <w:r>
              <w:rPr/>
              <w:t>James Valentine</w:t>
            </w:r>
          </w:p>
        </w:tc>
        <w:tc>
          <w:tcPr>
            <w:tcW w:w="12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303" w:type="dxa"/>
        <w:jc w:val="left"/>
        <w:tblInd w:w="0" w:type="dxa"/>
        <w:tblLayout w:type="fixed"/>
        <w:tblCellMar>
          <w:top w:w="0" w:type="dxa"/>
          <w:left w:w="0" w:type="dxa"/>
          <w:bottom w:w="0" w:type="dxa"/>
          <w:right w:w="0" w:type="dxa"/>
        </w:tblCellMar>
      </w:tblPr>
      <w:tblGrid>
        <w:gridCol w:w="2150"/>
        <w:gridCol w:w="60"/>
        <w:gridCol w:w="23"/>
        <w:gridCol w:w="60"/>
        <w:gridCol w:w="650"/>
        <w:gridCol w:w="60"/>
        <w:gridCol w:w="2300"/>
      </w:tblGrid>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0" w:type="dxa"/>
            <w:gridSpan w:val="3"/>
            <w:tcBorders/>
            <w:vAlign w:val="center"/>
          </w:tcPr>
          <w:p>
            <w:pPr>
              <w:pStyle w:val="TableContents"/>
              <w:bidi w:val="0"/>
              <w:spacing w:before="0" w:after="283"/>
              <w:jc w:val="left"/>
              <w:rPr>
                <w:b/>
              </w:rPr>
            </w:pPr>
            <w:r>
              <w:rPr>
                <w:b/>
              </w:rPr>
              <w:t>Quince Therapeutics, Inc.</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Dirk Thye</w:t>
            </w:r>
          </w:p>
        </w:tc>
      </w:tr>
      <w:tr>
        <w:trPr/>
        <w:tc>
          <w:tcPr>
            <w:tcW w:w="2150" w:type="dxa"/>
            <w:tcBorders/>
            <w:vAlign w:val="center"/>
          </w:tcPr>
          <w:p>
            <w:pPr>
              <w:pStyle w:val="TableContents"/>
              <w:bidi w:val="0"/>
              <w:spacing w:before="0" w:after="283"/>
              <w:jc w:val="left"/>
              <w:rPr/>
            </w:pPr>
            <w:r>
              <w:rPr/>
              <w:t>Date: October 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Dirk Thye</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1977</Words>
  <Characters>10863</Characters>
  <CharactersWithSpaces>12852</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