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qncx-20260630.htm"/>
        <w:bookmarkStart w:id="1" w:name="ksqncx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bottom w:val="double" w:sz="6" w:space="1" w:color="000000"/>
        </w:pBdr>
        <w:bidi w:val="0"/>
        <w:spacing w:before="60" w:after="283"/>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jc w:val="center"/>
        <w:rPr>
          <w:rFonts w:ascii="Times New Roman" w:hAnsi="Times New Roman"/>
          <w:b/>
          <w:color w:val="000000"/>
          <w:sz w:val="16"/>
        </w:rPr>
      </w:pPr>
      <w:r>
        <w:rPr>
          <w:rFonts w:ascii="Times New Roman" w:hAnsi="Times New Roman"/>
          <w:b/>
          <w:color w:val="000000"/>
          <w:sz w:val="16"/>
        </w:rPr>
        <w:t>For the quarterly period ended June 30, 2026</w:t>
      </w:r>
    </w:p>
    <w:p>
      <w:pPr>
        <w:pStyle w:val="TextBody"/>
        <w:bidi w:val="0"/>
        <w:jc w:val="center"/>
        <w:rPr>
          <w:rFonts w:ascii="Times New Roman" w:hAnsi="Times New Roman"/>
          <w:b/>
          <w:color w:val="000000"/>
          <w:sz w:val="16"/>
        </w:rPr>
      </w:pPr>
      <w:r>
        <w:rPr>
          <w:rFonts w:ascii="Times New Roman" w:hAnsi="Times New Roman"/>
          <w:b/>
          <w:color w:val="000000"/>
          <w:sz w:val="16"/>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jc w:val="center"/>
        <w:rPr>
          <w:rFonts w:ascii="Times New Roman" w:hAnsi="Times New Roman"/>
          <w:b/>
          <w:color w:val="000000"/>
          <w:sz w:val="16"/>
        </w:rPr>
      </w:pPr>
      <w:r>
        <w:rPr>
          <w:rFonts w:ascii="Times New Roman" w:hAnsi="Times New Roman"/>
          <w:b/>
          <w:color w:val="000000"/>
          <w:sz w:val="16"/>
        </w:rPr>
        <w:t>For the transition period from _______________ to _______________</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001-38890</w:t>
      </w:r>
    </w:p>
    <w:p>
      <w:pPr>
        <w:pStyle w:val="TextBody"/>
        <w:bidi w:val="0"/>
        <w:jc w:val="center"/>
        <w:rPr/>
      </w:pPr>
      <w:r>
        <w:rPr/>
        <w:t> </w:t>
      </w:r>
    </w:p>
    <w:p>
      <w:pPr>
        <w:pStyle w:val="TextBody"/>
        <w:pBdr>
          <w:top w:val="single" w:sz="6"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Quince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left"/>
        <w:rPr/>
      </w:pPr>
      <w:r>
        <w:rPr/>
        <w:t> </w:t>
      </w:r>
    </w:p>
    <w:tbl>
      <w:tblPr>
        <w:tblW w:w="5115" w:type="dxa"/>
        <w:jc w:val="left"/>
        <w:tblInd w:w="0" w:type="dxa"/>
        <w:tblLayout w:type="fixed"/>
        <w:tblCellMar>
          <w:top w:w="28" w:type="dxa"/>
          <w:left w:w="28" w:type="dxa"/>
          <w:bottom w:w="28" w:type="dxa"/>
          <w:right w:w="28" w:type="dxa"/>
        </w:tblCellMar>
      </w:tblPr>
      <w:tblGrid>
        <w:gridCol w:w="3404"/>
        <w:gridCol w:w="1711"/>
      </w:tblGrid>
      <w:tr>
        <w:trPr/>
        <w:tc>
          <w:tcPr>
            <w:tcW w:w="340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3404"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Delaware</w:t>
            </w:r>
          </w:p>
        </w:tc>
        <w:tc>
          <w:tcPr>
            <w:tcW w:w="171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90-1024039</w:t>
            </w:r>
          </w:p>
        </w:tc>
      </w:tr>
      <w:tr>
        <w:trPr/>
        <w:tc>
          <w:tcPr>
            <w:tcW w:w="3404" w:type="dxa"/>
            <w:tcBorders/>
            <w:tcMar>
              <w:top w:w="0" w:type="dxa"/>
              <w:left w:w="0" w:type="dxa"/>
              <w:bottom w:w="0" w:type="dxa"/>
              <w:right w:w="0" w:type="dxa"/>
            </w:tcMar>
            <w:vAlign w:val="center"/>
          </w:tcPr>
          <w:p>
            <w:pPr>
              <w:pStyle w:val="TableContents"/>
              <w:bidi w:val="0"/>
              <w:spacing w:before="65" w:after="283"/>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0"/>
              <w:jc w:val="center"/>
              <w:rPr>
                <w:rFonts w:ascii="Times New Roman" w:hAnsi="Times New Roman"/>
                <w:color w:val="000000"/>
                <w:sz w:val="16"/>
              </w:rPr>
            </w:pPr>
            <w:r>
              <w:rPr>
                <w:rFonts w:ascii="Times New Roman" w:hAnsi="Times New Roman"/>
                <w:color w:val="000000"/>
                <w:sz w:val="16"/>
              </w:rPr>
              <w:t>incorporation or organization)</w:t>
            </w:r>
          </w:p>
        </w:tc>
        <w:tc>
          <w:tcPr>
            <w:tcW w:w="1711" w:type="dxa"/>
            <w:tcBorders/>
            <w:tcMar>
              <w:top w:w="0" w:type="dxa"/>
              <w:left w:w="0" w:type="dxa"/>
              <w:bottom w:w="0" w:type="dxa"/>
              <w:right w:w="0" w:type="dxa"/>
            </w:tcMar>
            <w:vAlign w:val="center"/>
          </w:tcPr>
          <w:p>
            <w:pPr>
              <w:pStyle w:val="TableContents"/>
              <w:bidi w:val="0"/>
              <w:spacing w:before="65" w:after="283"/>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0"/>
              <w:jc w:val="center"/>
              <w:rPr>
                <w:rFonts w:ascii="Times New Roman" w:hAnsi="Times New Roman"/>
                <w:color w:val="000000"/>
                <w:sz w:val="16"/>
              </w:rPr>
            </w:pPr>
            <w:r>
              <w:rPr>
                <w:rFonts w:ascii="Times New Roman" w:hAnsi="Times New Roman"/>
                <w:color w:val="000000"/>
                <w:sz w:val="16"/>
              </w:rPr>
              <w:t>Identification No.)</w:t>
            </w:r>
          </w:p>
        </w:tc>
      </w:tr>
      <w:tr>
        <w:trPr/>
        <w:tc>
          <w:tcPr>
            <w:tcW w:w="3404" w:type="dxa"/>
            <w:tcBorders/>
            <w:tcMar>
              <w:top w:w="0" w:type="dxa"/>
              <w:left w:w="0" w:type="dxa"/>
              <w:bottom w:w="0" w:type="dxa"/>
              <w:right w:w="0" w:type="dxa"/>
            </w:tcMar>
            <w:vAlign w:val="center"/>
          </w:tcPr>
          <w:p>
            <w:pPr>
              <w:pStyle w:val="TableContents"/>
              <w:bidi w:val="0"/>
              <w:spacing w:before="65" w:after="15"/>
              <w:jc w:val="center"/>
              <w:rPr>
                <w:rFonts w:ascii="Times New Roman" w:hAnsi="Times New Roman"/>
                <w:b/>
                <w:color w:val="000000"/>
                <w:sz w:val="16"/>
              </w:rPr>
            </w:pPr>
            <w:r>
              <w:rPr>
                <w:rFonts w:ascii="Times New Roman" w:hAnsi="Times New Roman"/>
                <w:b/>
                <w:color w:val="000000"/>
                <w:sz w:val="16"/>
              </w:rPr>
              <w:t>611 Gateway Boulevard, Suite 273</w:t>
            </w:r>
          </w:p>
          <w:p>
            <w:pPr>
              <w:pStyle w:val="TableContents"/>
              <w:bidi w:val="0"/>
              <w:spacing w:before="0" w:after="20"/>
              <w:jc w:val="center"/>
              <w:rPr>
                <w:rFonts w:ascii="Times New Roman" w:hAnsi="Times New Roman"/>
                <w:sz w:val="20"/>
              </w:rPr>
            </w:pPr>
            <w:r>
              <w:rPr>
                <w:rFonts w:ascii="Times New Roman" w:hAnsi="Times New Roman"/>
                <w:b/>
                <w:color w:val="000000"/>
                <w:sz w:val="16"/>
              </w:rPr>
              <w:t>South San Francisco,</w:t>
            </w:r>
            <w:r>
              <w:rPr>
                <w:rFonts w:ascii="Times New Roman" w:hAnsi="Times New Roman"/>
                <w:color w:val="000000"/>
                <w:sz w:val="20"/>
              </w:rPr>
              <w:t xml:space="preserve"> </w:t>
            </w:r>
            <w:r>
              <w:rPr>
                <w:rFonts w:ascii="Times New Roman" w:hAnsi="Times New Roman"/>
                <w:b/>
                <w:color w:val="000000"/>
                <w:sz w:val="16"/>
              </w:rPr>
              <w:t>California</w:t>
            </w:r>
          </w:p>
        </w:tc>
        <w:tc>
          <w:tcPr>
            <w:tcW w:w="171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94080</w:t>
            </w:r>
          </w:p>
        </w:tc>
      </w:tr>
      <w:tr>
        <w:trPr/>
        <w:tc>
          <w:tcPr>
            <w:tcW w:w="3404"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16"/>
              </w:rPr>
            </w:pPr>
            <w:r>
              <w:rPr>
                <w:rFonts w:ascii="Times New Roman" w:hAnsi="Times New Roman"/>
                <w:color w:val="000000"/>
                <w:sz w:val="16"/>
              </w:rPr>
              <w:t>(Address of principal executive offices)</w:t>
            </w:r>
          </w:p>
        </w:tc>
        <w:tc>
          <w:tcPr>
            <w:tcW w:w="171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16"/>
              </w:rPr>
            </w:pPr>
            <w:r>
              <w:rPr>
                <w:rFonts w:ascii="Times New Roman" w:hAnsi="Times New Roman"/>
                <w:color w:val="000000"/>
                <w:sz w:val="16"/>
              </w:rPr>
              <w:t>(Zip Code)</w:t>
            </w:r>
          </w:p>
        </w:tc>
      </w:tr>
      <w:tr>
        <w:trPr/>
        <w:tc>
          <w:tcPr>
            <w:tcW w:w="5115" w:type="dxa"/>
            <w:gridSpan w:val="2"/>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Registrant’s telephone number, including area code: (415) 910-5717</w:t>
            </w:r>
          </w:p>
        </w:tc>
      </w:tr>
    </w:tbl>
    <w:p>
      <w:pPr>
        <w:pStyle w:val="TextBody"/>
        <w:bidi w:val="0"/>
        <w:jc w:val="center"/>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spacing w:before="40" w:after="12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tbl>
      <w:tblPr>
        <w:tblW w:w="8141" w:type="dxa"/>
        <w:jc w:val="left"/>
        <w:tblInd w:w="0" w:type="dxa"/>
        <w:tblLayout w:type="fixed"/>
        <w:tblCellMar>
          <w:top w:w="28" w:type="dxa"/>
          <w:left w:w="28" w:type="dxa"/>
          <w:bottom w:w="28" w:type="dxa"/>
          <w:right w:w="28" w:type="dxa"/>
        </w:tblCellMar>
      </w:tblPr>
      <w:tblGrid>
        <w:gridCol w:w="3151"/>
        <w:gridCol w:w="109"/>
        <w:gridCol w:w="1456"/>
        <w:gridCol w:w="109"/>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bottom w:val="single" w:sz="8" w:space="0" w:color="000000"/>
            </w:tcBorders>
            <w:tcMar>
              <w:top w:w="0" w:type="dxa"/>
              <w:left w:w="0" w:type="dxa"/>
              <w:right w:w="0" w:type="dxa"/>
            </w:tcMar>
            <w:vAlign w:val="center"/>
          </w:tcPr>
          <w:p>
            <w:pPr>
              <w:pStyle w:val="TableContents"/>
              <w:bidi w:val="0"/>
              <w:spacing w:before="45" w:after="20"/>
              <w:jc w:val="center"/>
              <w:rPr>
                <w:rFonts w:ascii="Times New Roman" w:hAnsi="Times New Roman"/>
                <w:color w:val="000000"/>
                <w:sz w:val="16"/>
              </w:rPr>
            </w:pPr>
            <w:r>
              <w:rPr>
                <w:rFonts w:ascii="Times New Roman" w:hAnsi="Times New Roman"/>
                <w:color w:val="000000"/>
                <w:sz w:val="16"/>
              </w:rPr>
              <w:t>Common Stock, par value $0.001 per share</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top w:w="0" w:type="dxa"/>
              <w:left w:w="0" w:type="dxa"/>
              <w:right w:w="0" w:type="dxa"/>
            </w:tcMar>
            <w:vAlign w:val="center"/>
          </w:tcPr>
          <w:p>
            <w:pPr>
              <w:pStyle w:val="TableContents"/>
              <w:bidi w:val="0"/>
              <w:spacing w:before="45" w:after="20"/>
              <w:jc w:val="center"/>
              <w:rPr>
                <w:rFonts w:ascii="Times New Roman" w:hAnsi="Times New Roman"/>
                <w:color w:val="000000"/>
                <w:sz w:val="16"/>
              </w:rPr>
            </w:pPr>
            <w:r>
              <w:rPr>
                <w:rFonts w:ascii="Times New Roman" w:hAnsi="Times New Roman"/>
                <w:color w:val="000000"/>
                <w:sz w:val="16"/>
              </w:rPr>
              <w:t>QNCX</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before="45" w:after="20"/>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75" w:type="dxa"/>
        <w:jc w:val="left"/>
        <w:tblInd w:w="0" w:type="dxa"/>
        <w:tblLayout w:type="fixed"/>
        <w:tblCellMar>
          <w:top w:w="28" w:type="dxa"/>
          <w:left w:w="28" w:type="dxa"/>
          <w:bottom w:w="28" w:type="dxa"/>
          <w:right w:w="28" w:type="dxa"/>
        </w:tblCellMar>
      </w:tblPr>
      <w:tblGrid>
        <w:gridCol w:w="161"/>
        <w:gridCol w:w="2026"/>
        <w:gridCol w:w="316"/>
        <w:gridCol w:w="2011"/>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60"/>
        <w:jc w:val="left"/>
        <w:rPr>
          <w:rFonts w:ascii="Times New Roman" w:hAnsi="Times New Roman"/>
          <w:sz w:val="20"/>
        </w:rPr>
      </w:pPr>
      <w:r>
        <w:rPr>
          <w:rFonts w:ascii="Times New Roman" w:hAnsi="Times New Roman"/>
          <w:color w:val="000000"/>
          <w:sz w:val="16"/>
        </w:rPr>
        <w:t>As of August 7, 2026, the registrant had 1,017,063</w:t>
      </w:r>
      <w:r>
        <w:rPr>
          <w:rFonts w:ascii="Times New Roman" w:hAnsi="Times New Roman"/>
          <w:color w:val="000000"/>
          <w:sz w:val="20"/>
        </w:rPr>
        <w:t xml:space="preserve"> </w:t>
      </w:r>
      <w:r>
        <w:rPr>
          <w:rFonts w:ascii="Times New Roman" w:hAnsi="Times New Roman"/>
          <w:color w:val="000000"/>
          <w:sz w:val="16"/>
        </w:rPr>
        <w:t>shares of common stock, $0.001 par value per share, outstanding.</w:t>
      </w:r>
    </w:p>
    <w:p>
      <w:pPr>
        <w:pStyle w:val="TextBody"/>
        <w:bidi w:val="0"/>
        <w:jc w:val="center"/>
        <w:rPr>
          <w:rFonts w:ascii="Times New Roman" w:hAnsi="Times New Roman"/>
          <w:b/>
          <w:color w:val="000000"/>
          <w:sz w:val="14"/>
        </w:rPr>
      </w:pPr>
      <w:r>
        <w:rPr>
          <w:rFonts w:ascii="Times New Roman" w:hAnsi="Times New Roman"/>
          <w:b/>
          <w:color w:val="000000"/>
          <w:sz w:val="14"/>
        </w:rPr>
        <w:t>EXPLANATORY NOTE</w:t>
      </w:r>
    </w:p>
    <w:p>
      <w:pPr>
        <w:pStyle w:val="TextBody"/>
        <w:bidi w:val="0"/>
        <w:jc w:val="both"/>
        <w:rPr>
          <w:rFonts w:ascii="Times New Roman" w:hAnsi="Times New Roman"/>
          <w:color w:val="000000"/>
          <w:sz w:val="14"/>
        </w:rPr>
      </w:pPr>
      <w:r>
        <w:rPr>
          <w:rFonts w:ascii="Times New Roman" w:hAnsi="Times New Roman"/>
          <w:color w:val="000000"/>
          <w:sz w:val="14"/>
        </w:rPr>
        <w:t>On April 10, 2026, the Company effected a reverse stock split of all shares of its issued and outstanding common stock at a ratio of 1-for-10. On June 29, 2026, the Company effected a reverse stock split of all shares of its issued and outstanding common stock at a ratio of 1-for-20. The Company accounted for these reverse stock splits on a retrospective basis pursuant to Accounting Standards Codification (“ASC”) 260, Earnings Per Share. All issued and outstanding shares of common stock and share-based awards’ exercise prices and per share data in this report and the unaudited condensed consolidated financial statements have been adjusted, on a retrospective basis, to reflect the reverse stock splits for all periods presented. The number of authorized shares and par value of the common stock were not adjusted because of the reverse stock splits.</w:t>
      </w:r>
    </w:p>
    <w:p>
      <w:pPr>
        <w:pStyle w:val="TextBody"/>
        <w:bidi w:val="0"/>
        <w:spacing w:before="0" w:after="72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74"/>
        <w:gridCol w:w="8759"/>
        <w:gridCol w:w="572"/>
      </w:tblGrid>
      <w:tr>
        <w:trPr/>
        <w:tc>
          <w:tcPr>
            <w:tcW w:w="874" w:type="dxa"/>
            <w:tcBorders/>
            <w:vAlign w:val="center"/>
          </w:tcPr>
          <w:p>
            <w:pPr>
              <w:pStyle w:val="TableContents"/>
              <w:bidi w:val="0"/>
              <w:spacing w:before="0" w:after="283"/>
              <w:jc w:val="left"/>
              <w:rPr>
                <w:sz w:val="4"/>
                <w:szCs w:val="4"/>
              </w:rPr>
            </w:pPr>
            <w:r>
              <w:rPr>
                <w:sz w:val="4"/>
                <w:szCs w:val="4"/>
              </w:rPr>
            </w:r>
          </w:p>
        </w:tc>
        <w:tc>
          <w:tcPr>
            <w:tcW w:w="87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ind w:left="0" w:right="0" w:firstLine="84"/>
              <w:jc w:val="left"/>
              <w:rPr>
                <w:sz w:val="4"/>
                <w:szCs w:val="4"/>
              </w:rPr>
            </w:pPr>
            <w:r>
              <w:rPr>
                <w:sz w:val="4"/>
                <w:szCs w:val="4"/>
              </w:rPr>
            </w:r>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Item 1.</w:t>
            </w:r>
          </w:p>
        </w:tc>
        <w:tc>
          <w:tcPr>
            <w:tcW w:w="8759" w:type="dxa"/>
            <w:tcBorders/>
            <w:shd w:fill="FFFFFF" w:val="clear"/>
            <w:tcMar>
              <w:top w:w="0" w:type="dxa"/>
              <w:left w:w="0" w:type="dxa"/>
              <w:bottom w:w="0" w:type="dxa"/>
              <w:right w:w="0" w:type="dxa"/>
            </w:tcMar>
            <w:vAlign w:val="center"/>
          </w:tcPr>
          <w:p>
            <w:pPr>
              <w:pStyle w:val="TableContents"/>
              <w:bidi w:val="0"/>
              <w:spacing w:before="60" w:after="283"/>
              <w:jc w:val="left"/>
              <w:rPr/>
            </w:pPr>
            <w:hyperlink w:anchor="financial_statements">
              <w:r>
                <w:rPr>
                  <w:rStyle w:val="InternetLink"/>
                  <w:rFonts w:ascii="Times New Roman" w:hAnsi="Times New Roman"/>
                  <w:color w:val="0000FF"/>
                  <w:sz w:val="20"/>
                  <w:u w:val="single"/>
                </w:rPr>
                <w:t>Financial Statements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60" w:after="283"/>
              <w:ind w:left="0" w:right="0" w:firstLine="84"/>
              <w:jc w:val="right"/>
              <w:rPr>
                <w:rFonts w:ascii="Times New Roman" w:hAnsi="Times New Roman"/>
                <w:color w:val="000000"/>
                <w:sz w:val="20"/>
              </w:rPr>
            </w:pPr>
            <w:r>
              <w:rPr>
                <w:rFonts w:ascii="Times New Roman" w:hAnsi="Times New Roman"/>
                <w:color w:val="000000"/>
                <w:sz w:val="20"/>
              </w:rPr>
              <w:t>1</w:t>
            </w:r>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balance_sheets">
              <w:r>
                <w:rPr>
                  <w:rStyle w:val="InternetLink"/>
                  <w:rFonts w:ascii="Times New Roman" w:hAnsi="Times New Roman"/>
                  <w:color w:val="0000FF"/>
                  <w:sz w:val="20"/>
                  <w:u w:val="single"/>
                </w:rPr>
                <w:t>Condensed Consolidated Balance Sheets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ind w:left="0" w:right="0" w:firstLine="84"/>
              <w:jc w:val="right"/>
              <w:rPr>
                <w:rFonts w:ascii="Times New Roman" w:hAnsi="Times New Roman"/>
                <w:color w:val="000000"/>
                <w:sz w:val="20"/>
              </w:rPr>
            </w:pPr>
            <w:r>
              <w:rPr>
                <w:rFonts w:ascii="Times New Roman" w:hAnsi="Times New Roman"/>
                <w:color w:val="000000"/>
                <w:sz w:val="20"/>
              </w:rPr>
              <w:t>1</w:t>
            </w:r>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statements_of_operations">
              <w:r>
                <w:rPr>
                  <w:rStyle w:val="InternetLink"/>
                  <w:rFonts w:ascii="Times New Roman" w:hAnsi="Times New Roman"/>
                  <w:color w:val="0000FF"/>
                  <w:sz w:val="20"/>
                  <w:u w:val="single"/>
                </w:rPr>
                <w:t>Condensed Consolidated Statements of Operations and Comprehensive Loss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ind w:left="0" w:right="0" w:firstLine="84"/>
              <w:jc w:val="right"/>
              <w:rPr>
                <w:rFonts w:ascii="Times New Roman" w:hAnsi="Times New Roman"/>
                <w:color w:val="000000"/>
                <w:sz w:val="20"/>
              </w:rPr>
            </w:pPr>
            <w:r>
              <w:rPr>
                <w:rFonts w:ascii="Times New Roman" w:hAnsi="Times New Roman"/>
                <w:color w:val="000000"/>
                <w:sz w:val="20"/>
              </w:rPr>
              <w:t>2</w:t>
            </w:r>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sse">
              <w:r>
                <w:rPr>
                  <w:rStyle w:val="InternetLink"/>
                  <w:rFonts w:ascii="Times New Roman" w:hAnsi="Times New Roman"/>
                  <w:color w:val="0000FF"/>
                  <w:sz w:val="20"/>
                  <w:u w:val="single"/>
                </w:rPr>
                <w:t>Condensed Consolidated Statements of Series C Preferred Stock and Stockholders’ Equity (Deficit)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ind w:left="0" w:right="0" w:firstLine="84"/>
              <w:jc w:val="right"/>
              <w:rPr>
                <w:rFonts w:ascii="Times New Roman" w:hAnsi="Times New Roman"/>
                <w:color w:val="000000"/>
                <w:sz w:val="20"/>
              </w:rPr>
            </w:pPr>
            <w:r>
              <w:rPr>
                <w:rFonts w:ascii="Times New Roman" w:hAnsi="Times New Roman"/>
                <w:color w:val="000000"/>
                <w:sz w:val="20"/>
              </w:rPr>
              <w:t>3</w:t>
            </w:r>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statements_of_cash_flows">
              <w:r>
                <w:rPr>
                  <w:rStyle w:val="InternetLink"/>
                  <w:rFonts w:ascii="Times New Roman" w:hAnsi="Times New Roman"/>
                  <w:color w:val="0000FF"/>
                  <w:sz w:val="20"/>
                  <w:u w:val="single"/>
                </w:rPr>
                <w:t>Condensed Consolidated Statements of Cash Flows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ind w:left="0" w:right="0" w:firstLine="84"/>
              <w:jc w:val="right"/>
              <w:rPr>
                <w:rFonts w:ascii="Times New Roman" w:hAnsi="Times New Roman"/>
                <w:color w:val="000000"/>
                <w:sz w:val="20"/>
              </w:rPr>
            </w:pPr>
            <w:r>
              <w:rPr>
                <w:rFonts w:ascii="Times New Roman" w:hAnsi="Times New Roman"/>
                <w:color w:val="000000"/>
                <w:sz w:val="20"/>
              </w:rPr>
              <w:t>5</w:t>
            </w:r>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notes_to_consolidated_financial_stmt">
              <w:r>
                <w:rPr>
                  <w:rStyle w:val="InternetLink"/>
                  <w:rFonts w:ascii="Times New Roman" w:hAnsi="Times New Roman"/>
                  <w:color w:val="0000FF"/>
                  <w:sz w:val="20"/>
                  <w:u w:val="single"/>
                </w:rPr>
                <w:t>Notes to Unaudited Condensed Consolidated 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6</w:t>
            </w:r>
          </w:p>
        </w:tc>
      </w:tr>
      <w:tr>
        <w:trPr/>
        <w:tc>
          <w:tcPr>
            <w:tcW w:w="874"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2.</w:t>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34</w:t>
            </w:r>
          </w:p>
        </w:tc>
      </w:tr>
      <w:tr>
        <w:trPr/>
        <w:tc>
          <w:tcPr>
            <w:tcW w:w="874"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3.</w:t>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46</w:t>
            </w:r>
          </w:p>
        </w:tc>
      </w:tr>
      <w:tr>
        <w:trPr/>
        <w:tc>
          <w:tcPr>
            <w:tcW w:w="874"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4.</w:t>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46</w:t>
            </w:r>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Item 1.</w:t>
            </w:r>
          </w:p>
        </w:tc>
        <w:tc>
          <w:tcPr>
            <w:tcW w:w="8759" w:type="dxa"/>
            <w:tcBorders/>
            <w:shd w:fill="FFFFFF" w:val="clear"/>
            <w:tcMar>
              <w:top w:w="0" w:type="dxa"/>
              <w:left w:w="0" w:type="dxa"/>
              <w:bottom w:w="0" w:type="dxa"/>
              <w:right w:w="0" w:type="dxa"/>
            </w:tcMar>
            <w:vAlign w:val="center"/>
          </w:tcPr>
          <w:p>
            <w:pPr>
              <w:pStyle w:val="TableContents"/>
              <w:bidi w:val="0"/>
              <w:spacing w:before="60" w:after="283"/>
              <w:jc w:val="left"/>
              <w:rPr/>
            </w:pPr>
            <w:hyperlink w:anchor="item_1_legal_proceedings">
              <w:r>
                <w:rPr>
                  <w:rStyle w:val="InternetLink"/>
                  <w:rFonts w:ascii="Times New Roman" w:hAnsi="Times New Roman"/>
                  <w:color w:val="0000FF"/>
                  <w:sz w:val="20"/>
                  <w:u w:val="single"/>
                </w:rPr>
                <w:t>Legal Proceedings</w:t>
              </w:r>
            </w:hyperlink>
          </w:p>
        </w:tc>
        <w:tc>
          <w:tcPr>
            <w:tcW w:w="57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48</w:t>
            </w:r>
          </w:p>
        </w:tc>
      </w:tr>
      <w:tr>
        <w:trPr/>
        <w:tc>
          <w:tcPr>
            <w:tcW w:w="874"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1A.</w:t>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48</w:t>
            </w:r>
          </w:p>
        </w:tc>
      </w:tr>
      <w:tr>
        <w:trPr/>
        <w:tc>
          <w:tcPr>
            <w:tcW w:w="874"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2.</w:t>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109</w:t>
            </w:r>
          </w:p>
        </w:tc>
      </w:tr>
      <w:tr>
        <w:trPr/>
        <w:tc>
          <w:tcPr>
            <w:tcW w:w="874"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3.</w:t>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109</w:t>
            </w:r>
          </w:p>
        </w:tc>
      </w:tr>
      <w:tr>
        <w:trPr/>
        <w:tc>
          <w:tcPr>
            <w:tcW w:w="874"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4.</w:t>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109</w:t>
            </w:r>
          </w:p>
        </w:tc>
      </w:tr>
      <w:tr>
        <w:trPr/>
        <w:tc>
          <w:tcPr>
            <w:tcW w:w="874"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5.</w:t>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5_othe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109</w:t>
            </w:r>
          </w:p>
        </w:tc>
      </w:tr>
      <w:tr>
        <w:trPr/>
        <w:tc>
          <w:tcPr>
            <w:tcW w:w="874"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6.</w:t>
            </w:r>
          </w:p>
        </w:tc>
        <w:tc>
          <w:tcPr>
            <w:tcW w:w="8759"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6_exhibits">
              <w:r>
                <w:rPr>
                  <w:rStyle w:val="InternetLink"/>
                  <w:rFonts w:ascii="Times New Roman" w:hAnsi="Times New Roman"/>
                  <w:color w:val="0000FF"/>
                  <w:sz w:val="20"/>
                  <w:u w:val="single"/>
                </w:rPr>
                <w:t>Exhibits</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109</w:t>
            </w:r>
          </w:p>
        </w:tc>
      </w:tr>
      <w:tr>
        <w:trPr/>
        <w:tc>
          <w:tcPr>
            <w:tcW w:w="9633" w:type="dxa"/>
            <w:gridSpan w:val="2"/>
            <w:tcBorders/>
            <w:shd w:fill="FFFFFF" w:val="clear"/>
            <w:tcMar>
              <w:top w:w="0" w:type="dxa"/>
              <w:left w:w="0" w:type="dxa"/>
              <w:bottom w:w="0" w:type="dxa"/>
              <w:right w:w="0" w:type="dxa"/>
            </w:tcMar>
            <w:vAlign w:val="center"/>
          </w:tcPr>
          <w:p>
            <w:pPr>
              <w:pStyle w:val="TableContents"/>
              <w:bidi w:val="0"/>
              <w:spacing w:before="40" w:after="283"/>
              <w:jc w:val="left"/>
              <w:rPr/>
            </w:pPr>
            <w:hyperlink w:anchor="signatures">
              <w:r>
                <w:rPr>
                  <w:rStyle w:val="InternetLink"/>
                  <w:rFonts w:ascii="Times New Roman" w:hAnsi="Times New Roman"/>
                  <w:color w:val="0000FF"/>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112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All statements other than statements of historical facts contained in this report, including statements regarding our future results of operations and financial position, business strategy, drug candidates, planned preclinical studies and clinical trials, research and development costs, regulatory approvals, timing and likelihood of success, as well as plans and objectives of management for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section titled “Risk Factors” set forth in Part II, Item 1A of this Quarterly Report on Form 10-Q and in our other filings with the Securities and Exchange Commission (the "SEC").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may differ materially and adversely from those anticipated or implied in the forward-looking statements. Forward-looking statements contained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integrate the operations of the Company and Orphai (as defined below) and to realize the anticipated benefits of our acquisition of Orphai, including the advancement of the combined pipeline and the need to hire additional employees and our ability to attract and retain our personnel, including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preclinical studies and clinical trials to demonstrate acceptable safety and efficacy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disruptions affecting the initiation, patient enrollment, development and operation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and results of preclinical studies and clinical trials for our current and future product candidates,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scope and likelihood of regulatory filings and approvals, including Investigational New Drug ("IND") submissions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and advance our current product candidates and programs into, and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commercialization, and marketing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hire additional personnel and our ability to attract and retain such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market opportunity for our product candidates, including our estimates of the number of patients who suffer from the diseases we are targeting;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approval and use of our product candidates as first, second or subsequent lines of therapy or in combination with other drugs;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expenses, liquidity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related to the use of our available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claims relating to our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compliance with Nasdaq listing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Quarterly Report on Form 10-Q or to conform these statements to actual results or revised expectations.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on Form 10-Q with the understanding that our actual future results, levels of activity, performance and events and circumstances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estimates, projections and other information concerning our industry, our business and the markets for our drug candidates. We obtained the industry, market and similar data set forth in this report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the context requires otherwise, the terms (i) “we,” “us,” “our,” “Quince,” the “Company” and other similar terms refer to the business and operations of Quince Therapeutics, Inc. and its consolidated subsidiaries for periods prior to the Acquisition (as defined below) and to Orphai Holdings Therapeutics, Inc. and its consolidated subsidiaries, including Orphai Therapeutics, LLC, for periods after the Acquisition; (ii) “Orphai HoldCo” refers to Orphai Holdings Therapeutics, Inc., (iii) “Orphai Subsidiary” refers to Orphai Therapeutics, LLC, a wholly owned subsidiary of Orphai HoldCo, (iv) “Orphai” or “Orphai Therapeutics” refer collectively to Orphai HoldCo and Orphai Subsidiary and (v) “Orphai Acquisition” refers to the acquisition by the Company of Orphai Therapeutics pursuant to that certain Agreement and Plan of Merger, dated May 17, 2026 (the "Merger Agreement"), by and among the Company, Phoenix Merger Sub I, Inc., a Delaware corporation and a wholly owned subsidiary of the Company, Phoenix Merger Sub II, LLC, a Delaware limited liability company and wholly owned subsidiary of the Company, Orphai Subsidiary, and Orphai HoldCo. </w:t>
      </w:r>
    </w:p>
    <w:p>
      <w:pPr>
        <w:pStyle w:val="TextBody"/>
        <w:bidi w:val="0"/>
        <w:spacing w:before="24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I—FINANCIAL INFORMATION</w:t>
      </w:r>
    </w:p>
    <w:p>
      <w:pPr>
        <w:pStyle w:val="TextBody"/>
        <w:bidi w:val="0"/>
        <w:spacing w:before="240" w:after="120"/>
        <w:jc w:val="left"/>
        <w:rPr>
          <w:rFonts w:ascii="Times New Roman" w:hAnsi="Times New Roman"/>
          <w:b/>
          <w:color w:val="000000"/>
          <w:sz w:val="20"/>
        </w:rPr>
      </w:pPr>
      <w:bookmarkStart w:id="4" w:name="financial_statements"/>
      <w:bookmarkEnd w:id="4"/>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7032"/>
        <w:gridCol w:w="214"/>
        <w:gridCol w:w="857"/>
        <w:gridCol w:w="166"/>
        <w:gridCol w:w="146"/>
        <w:gridCol w:w="236"/>
        <w:gridCol w:w="940"/>
        <w:gridCol w:w="614"/>
      </w:tblGrid>
      <w:tr>
        <w:trPr/>
        <w:tc>
          <w:tcPr>
            <w:tcW w:w="70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93,523</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MEZZANINE EQUITY, AND STOCKHOLDERS’ EQUITY (DEFICIT)</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contingent consideration</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contingent consideration</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129,237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equity:</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C Preferred Stock, $0.001 par value, 294,370 shares and no shares designated as of June 30, 2026 and December 31, 2025, respectively; 211,301.868 and no shares issued and outstanding as of June 30, 2026 and December 31, 2025, respectively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 shares authorized, no shares issued and outstanding as of June 30, 2026 and December 31, 2025, respectively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Common stock, $0.001 par value, 250,000,000 shares authorized, 1,017,063 and 278,627 shares issued and outstanding as of June 30, 2026 and December 31, 2025, respectively</w:t>
            </w:r>
            <w:r>
              <w:rPr>
                <w:rFonts w:ascii="Times New Roman" w:hAnsi="Times New Roman"/>
                <w:color w:val="000000"/>
                <w:sz w:val="13"/>
              </w:rPr>
              <w:t>(1)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Additional paid in capital</w:t>
            </w:r>
            <w:r>
              <w:rPr>
                <w:rFonts w:ascii="Times New Roman" w:hAnsi="Times New Roman"/>
                <w:color w:val="000000"/>
                <w:sz w:val="13"/>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418,987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(460,451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mezzanine equity, and stockholders’ equity (deficit)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93,523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Adjusted prior period common stock and additional paid-in-capital to reflect the 1-for-10 reverse stock split effected on April 10, 2026 and the 1-for-20 reverse stock split effected on June 29, 2026.</w:t>
      </w:r>
    </w:p>
    <w:p>
      <w:pPr>
        <w:pStyle w:val="TextBody"/>
        <w:bidi w:val="0"/>
        <w:spacing w:before="120" w:after="283"/>
        <w:jc w:val="center"/>
        <w:rPr>
          <w:rFonts w:ascii="Times New Roman" w:hAnsi="Times New Roman"/>
          <w:i/>
          <w:color w:val="000000"/>
          <w:sz w:val="18"/>
        </w:rPr>
      </w:pPr>
      <w:r>
        <w:rPr>
          <w:rFonts w:ascii="Times New Roman" w:hAnsi="Times New Roman"/>
          <w:i/>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b/>
          <w:color w:val="000000"/>
          <w:sz w:val="20"/>
        </w:rPr>
      </w:pPr>
      <w:bookmarkStart w:id="6" w:name="statements_of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10"/>
        <w:gridCol w:w="211"/>
        <w:gridCol w:w="931"/>
        <w:gridCol w:w="166"/>
        <w:gridCol w:w="146"/>
        <w:gridCol w:w="211"/>
        <w:gridCol w:w="781"/>
        <w:gridCol w:w="166"/>
        <w:gridCol w:w="146"/>
        <w:gridCol w:w="211"/>
        <w:gridCol w:w="931"/>
        <w:gridCol w:w="166"/>
        <w:gridCol w:w="146"/>
        <w:gridCol w:w="211"/>
        <w:gridCol w:w="781"/>
        <w:gridCol w:w="391"/>
      </w:tblGrid>
      <w:tr>
        <w:trPr/>
        <w:tc>
          <w:tcPr>
            <w:tcW w:w="4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Orphai Acquisition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impairment charge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warrants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loss per share – basic and diluted </w:t>
            </w:r>
            <w:r>
              <w:rPr>
                <w:rFonts w:ascii="Times New Roman" w:hAnsi="Times New Roman"/>
                <w:color w:val="000000"/>
                <w:sz w:val="13"/>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Weighted average shares of common stock and in-substance common stock outstanding – basic and diluted </w:t>
            </w:r>
            <w:r>
              <w:rPr>
                <w:rFonts w:ascii="Times New Roman" w:hAnsi="Times New Roman"/>
                <w:color w:val="000000"/>
                <w:sz w:val="13"/>
              </w:rPr>
              <w:t>(1)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3,295,727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Adjusted prior period net loss per share and weighted average of common shares outstanding to reflect the 1-for-10 reverse stock split effected on April 10, 2026 and the 1-for-20 reverse stock split effected on June 29, 2026.</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sz w:val="20"/>
        </w:rPr>
      </w:pPr>
      <w:bookmarkStart w:id="7" w:name="sse"/>
      <w:bookmarkEnd w:id="7"/>
      <w:r>
        <w:rPr>
          <w:rFonts w:ascii="Times New Roman" w:hAnsi="Times New Roman"/>
          <w:b/>
          <w:color w:val="000000"/>
          <w:sz w:val="20"/>
        </w:rPr>
        <w:t>CONDENSED CONSOLIDATED STATEMENTS OF SERIES C PREFERRED STOCK AND STOCKHOLDERS' EQUITY</w:t>
      </w:r>
      <w:r>
        <w:rPr>
          <w:rFonts w:ascii="Times New Roman" w:hAnsi="Times New Roman"/>
          <w:color w:val="000000"/>
          <w:sz w:val="20"/>
        </w:rPr>
        <w:t xml:space="preserve"> </w:t>
      </w:r>
      <w:r>
        <w:rPr>
          <w:rFonts w:ascii="Times New Roman" w:hAnsi="Times New Roman"/>
          <w:b/>
          <w:color w:val="000000"/>
          <w:sz w:val="20"/>
        </w:rPr>
        <w:t>(DEFICIT)</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jc w:val="center"/>
        <w:rPr/>
      </w:pPr>
      <w:r>
        <w:rPr/>
        <w:t> </w:t>
      </w:r>
    </w:p>
    <w:tbl>
      <w:tblPr>
        <w:tblW w:w="11975" w:type="dxa"/>
        <w:jc w:val="left"/>
        <w:tblInd w:w="0" w:type="dxa"/>
        <w:tblLayout w:type="fixed"/>
        <w:tblCellMar>
          <w:top w:w="28" w:type="dxa"/>
          <w:left w:w="28" w:type="dxa"/>
          <w:bottom w:w="28" w:type="dxa"/>
          <w:right w:w="28" w:type="dxa"/>
        </w:tblCellMar>
      </w:tblPr>
      <w:tblGrid>
        <w:gridCol w:w="1296"/>
        <w:gridCol w:w="146"/>
        <w:gridCol w:w="146"/>
        <w:gridCol w:w="1006"/>
        <w:gridCol w:w="146"/>
        <w:gridCol w:w="146"/>
        <w:gridCol w:w="196"/>
        <w:gridCol w:w="691"/>
        <w:gridCol w:w="146"/>
        <w:gridCol w:w="146"/>
        <w:gridCol w:w="146"/>
        <w:gridCol w:w="146"/>
        <w:gridCol w:w="826"/>
        <w:gridCol w:w="146"/>
        <w:gridCol w:w="146"/>
        <w:gridCol w:w="249"/>
        <w:gridCol w:w="442"/>
        <w:gridCol w:w="146"/>
        <w:gridCol w:w="146"/>
        <w:gridCol w:w="196"/>
        <w:gridCol w:w="691"/>
        <w:gridCol w:w="146"/>
        <w:gridCol w:w="146"/>
        <w:gridCol w:w="337"/>
        <w:gridCol w:w="879"/>
        <w:gridCol w:w="166"/>
        <w:gridCol w:w="146"/>
        <w:gridCol w:w="217"/>
        <w:gridCol w:w="834"/>
        <w:gridCol w:w="166"/>
        <w:gridCol w:w="146"/>
        <w:gridCol w:w="236"/>
        <w:gridCol w:w="800"/>
        <w:gridCol w:w="411"/>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1564" w:type="dxa"/>
            <w:gridSpan w:val="3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 and 2025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C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Common Stock</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Capital</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the ATM offerings,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the Orphai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Series C Preferred Stock in connection with the Orphai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67,101.235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Series C Preferred Stock in connection with private placement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144,200.633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Fractional shares round up due to June 2026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of replacement awards issued as consideration in Orphai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211,301.868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and warrants in private placement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the ATM offerings,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on exercise of stock options and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Adjusted prior period common stock and additional paid-in-capital to reflect the 1-for-10</w:t>
      </w:r>
      <w:r>
        <w:rPr>
          <w:rFonts w:ascii="Times New Roman" w:hAnsi="Times New Roman"/>
          <w:color w:val="000000"/>
          <w:sz w:val="20"/>
        </w:rPr>
        <w:t xml:space="preserve"> </w:t>
      </w:r>
      <w:r>
        <w:rPr>
          <w:rFonts w:ascii="Times New Roman" w:hAnsi="Times New Roman"/>
          <w:color w:val="000000"/>
          <w:sz w:val="18"/>
        </w:rPr>
        <w:t>reverse stock split effected on April 10, 2026 and the 1-for-20</w:t>
      </w:r>
      <w:r>
        <w:rPr>
          <w:rFonts w:ascii="Times New Roman" w:hAnsi="Times New Roman"/>
          <w:color w:val="000000"/>
          <w:sz w:val="20"/>
        </w:rPr>
        <w:t xml:space="preserve"> </w:t>
      </w:r>
      <w:r>
        <w:rPr>
          <w:rFonts w:ascii="Times New Roman" w:hAnsi="Times New Roman"/>
          <w:color w:val="000000"/>
          <w:sz w:val="18"/>
        </w:rPr>
        <w:t>reverse stock split effected on June 29, 2026.</w:t>
      </w:r>
    </w:p>
    <w:p>
      <w:pPr>
        <w:pStyle w:val="TextBody"/>
        <w:bidi w:val="0"/>
        <w:spacing w:before="120" w:after="283"/>
        <w:jc w:val="center"/>
        <w:rPr>
          <w:rFonts w:ascii="Times New Roman" w:hAnsi="Times New Roman"/>
          <w:i/>
          <w:color w:val="000000"/>
          <w:sz w:val="18"/>
        </w:rPr>
      </w:pPr>
      <w:r>
        <w:rPr>
          <w:rFonts w:ascii="Times New Roman" w:hAnsi="Times New Roman"/>
          <w:i/>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SERIES C PREFERRED STOCK AND STOCKHOLDERS' EQUITY (DEFICIT)</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jc w:val="left"/>
        <w:rPr/>
      </w:pPr>
      <w:r>
        <w:rPr/>
        <w:t> </w:t>
      </w:r>
    </w:p>
    <w:tbl>
      <w:tblPr>
        <w:tblW w:w="11975" w:type="dxa"/>
        <w:jc w:val="left"/>
        <w:tblInd w:w="0" w:type="dxa"/>
        <w:tblLayout w:type="fixed"/>
        <w:tblCellMar>
          <w:top w:w="28" w:type="dxa"/>
          <w:left w:w="28" w:type="dxa"/>
          <w:bottom w:w="28" w:type="dxa"/>
          <w:right w:w="28" w:type="dxa"/>
        </w:tblCellMar>
      </w:tblPr>
      <w:tblGrid>
        <w:gridCol w:w="1296"/>
        <w:gridCol w:w="146"/>
        <w:gridCol w:w="146"/>
        <w:gridCol w:w="1006"/>
        <w:gridCol w:w="146"/>
        <w:gridCol w:w="146"/>
        <w:gridCol w:w="196"/>
        <w:gridCol w:w="691"/>
        <w:gridCol w:w="146"/>
        <w:gridCol w:w="146"/>
        <w:gridCol w:w="146"/>
        <w:gridCol w:w="146"/>
        <w:gridCol w:w="826"/>
        <w:gridCol w:w="146"/>
        <w:gridCol w:w="146"/>
        <w:gridCol w:w="249"/>
        <w:gridCol w:w="442"/>
        <w:gridCol w:w="146"/>
        <w:gridCol w:w="146"/>
        <w:gridCol w:w="196"/>
        <w:gridCol w:w="691"/>
        <w:gridCol w:w="146"/>
        <w:gridCol w:w="146"/>
        <w:gridCol w:w="310"/>
        <w:gridCol w:w="906"/>
        <w:gridCol w:w="166"/>
        <w:gridCol w:w="146"/>
        <w:gridCol w:w="217"/>
        <w:gridCol w:w="834"/>
        <w:gridCol w:w="166"/>
        <w:gridCol w:w="146"/>
        <w:gridCol w:w="236"/>
        <w:gridCol w:w="800"/>
        <w:gridCol w:w="411"/>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1564" w:type="dxa"/>
            <w:gridSpan w:val="3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 and 2025</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C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Common Stock</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Capital</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the ATM offerings,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on exercise of pre-funded warrants,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the Orphai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Series C Preferred Stock in connection with the Orphai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67,101.235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Series C Preferred Stock in connection with private placement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144,200.633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Fractional shares round up due to June 2026 Reverse Stock Split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of replacement awards issued as consideration in Orphai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211,301.868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and warrants in private placement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the ATM offerings,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on exercise of stock options and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Adjusted prior period common stock and additional paid-in-capital to reflect the 1-for-10</w:t>
      </w:r>
      <w:r>
        <w:rPr>
          <w:rFonts w:ascii="Times New Roman" w:hAnsi="Times New Roman"/>
          <w:color w:val="000000"/>
          <w:sz w:val="20"/>
        </w:rPr>
        <w:t xml:space="preserve"> </w:t>
      </w:r>
      <w:r>
        <w:rPr>
          <w:rFonts w:ascii="Times New Roman" w:hAnsi="Times New Roman"/>
          <w:color w:val="000000"/>
          <w:sz w:val="18"/>
        </w:rPr>
        <w:t>reverse stock split effected on April 10, 2026 and the 1-for-20</w:t>
      </w:r>
      <w:r>
        <w:rPr>
          <w:rFonts w:ascii="Times New Roman" w:hAnsi="Times New Roman"/>
          <w:color w:val="000000"/>
          <w:sz w:val="20"/>
        </w:rPr>
        <w:t xml:space="preserve"> </w:t>
      </w:r>
      <w:r>
        <w:rPr>
          <w:rFonts w:ascii="Times New Roman" w:hAnsi="Times New Roman"/>
          <w:color w:val="000000"/>
          <w:sz w:val="18"/>
        </w:rPr>
        <w:t>reverse stock split effected on June 29, 2026.</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598"/>
        <w:gridCol w:w="546"/>
        <w:gridCol w:w="233"/>
        <w:gridCol w:w="823"/>
        <w:gridCol w:w="197"/>
        <w:gridCol w:w="173"/>
        <w:gridCol w:w="233"/>
        <w:gridCol w:w="787"/>
        <w:gridCol w:w="615"/>
      </w:tblGrid>
      <w:tr>
        <w:trPr/>
        <w:tc>
          <w:tcPr>
            <w:tcW w:w="659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(39,576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(31,079</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based compensation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the fair value of contingent consideration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debt,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(35,623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settlement of 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 impairment charge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67,808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Acquired in-process research and development from the Orphai Acquistion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Orphai Acquisition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discount on available-for-sale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net of acquisitions: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 of use assets, operating leases and 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(26,514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maturities of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31,000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assumed in the Orphai Acquisition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16,937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upon exercise of stock options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common warrants, and pre-funded warrants pursuant to June 2025 private placement offering, net of issuance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Series C Preferred Stock and Financing Warrants pursuant to May 2026 private placement offering, net of issuance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103,639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the ATM offerings, net of issuance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settlement of common warrants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118,376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increase in 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110,172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10,614</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115,981</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16,826</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cash flow and non-cash information: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Offering costs in accounts payable and accrued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exercise of pre-funded warrants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and Series C Preferred Stock issued in connection with Orphai Acquisition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51,388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replacement awards issued as consideration in the Orphai Acquisition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liabilities assumed in connection with Orpahi Acquisition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18"/>
        </w:rPr>
      </w:pPr>
      <w:r>
        <w:rPr>
          <w:rFonts w:ascii="Times New Roman" w:hAnsi="Times New Roman"/>
          <w:i/>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b/>
          <w:color w:val="000000"/>
          <w:sz w:val="20"/>
        </w:rPr>
      </w:pPr>
      <w:bookmarkStart w:id="9" w:name="notes_to_consolidated_financial_stmt"/>
      <w:bookmarkEnd w:id="9"/>
      <w:r>
        <w:rPr>
          <w:rFonts w:ascii="Times New Roman" w:hAnsi="Times New Roman"/>
          <w:b/>
          <w:color w:val="000000"/>
          <w:sz w:val="20"/>
        </w:rPr>
        <w:t>NOTES TO CONDENSED CONSOLIDATED FINANCIAL STATEMENTS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Organization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Quince Therapeutics, Inc. ("Quince" or the "Company") is a clinical-stage biopharmaceutical company developing a novel disease modifying therapeutic to address the significant unmet medical need associated with pulmonary disorders with few, if any, treatment options available.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Prior to the Orphai Acquisition (defined below), the Company was focused on developing its proprietary Autologous Intracellular Drug Encapsulation (“AIDE”) technology for the treatment of Ataxia-Telangiectasia (“A-T”) through its encapsulated dexamethasone sodium phosphate encapsulated in patient's own red blood cells (“eDSP”) product candidate. In January 2026, the Company completed its pivotal Phase 3 NEAT clinical trial of eDSP for the treatment of A-T. The primary endpoints of the NEAT trial did not reach statistical significance. Based on the results of the NEAT trial, the Company determined that it would no longer continue development of eDSP in this or other therapeutic indications, and is currently considering next steps for the eDSP program and other assets. </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Orphai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18, 2026, the Company completed the Acquisition of Orphai (the "Orphai Acquisition"), in accordance with the terms of the Agreement and Plan of Merger, dated May 17, 2026 (the “Merger Agreement”). In connection with the Orphai Acquisition, the Company acquired Orphai’s lead asset, LAM-001, a proprietary investigational inhaled dry powder formulation of rapamycin whose differentiated characteristics may permit treatment of conditions associated with dysfunctional mammalian target of rapamycin (“mTOR”) activity that cannot be adequately treated using a systemically delivered formulation, including oral solution or tablets. Following the Orphai Acquisition, the Company’s lead product candidate is LAM-001. See Note 3 for further details.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losses and negative cash flows from operations since inception and expects to continue to generate operating losses for the foreseeable future. As of June 30, 2026, the Company had an accumulated deficit of $500.0 million. Since inception through June 30, 2026, the Company has funded operations primarily with the net proceeds from the sale of its securities, from the net proceeds from the Company’s initial public offering (the “IPO”) and from the net proceeds of private investments in public equity transactions (collectively known as “PIPE Financings”), including the concurrent private placement in May 2026 described below. As of June 30, 2026, the Company had cash and cash equivalents of $116.0 million.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 evaluated whether there are conditions and events, considered in the aggregate, that raise substantial doubt about its ability to continue as a going concern within one year after the date that these unaudited condensed consolidated financial statements are issued.</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Concurrent with the Orphai Acquisition, in May 2026, the Company completed a private placement financing of the Company’s Series C Non-Voting Convertible Preferred Stock (the “Series C Preferred Stock”) and warrants to purchase shares of Series C Preferred Stock, providing $115.0 million in gross upfront proceeds, with the potential to receive up to an additional $72.0 million in gross proceeds upon the exercise of the warrants (with an additional up to $11.0 million in gross proceeds available upon the exercise of warrants issued to former Orphai stockholders). The Series C Preferred Stock is subject to automatic conversion into common stock upon the third business day following the Company’s receipt of stockholder approval in accordance with Nasdaq Listing Rules, subject to certain beneficial ownership limitations. The Certificate of Designation of Preferences, Rights and Limitations of the Series C Non-Voting Convertible Preferred Stock (the “Certificate of Designation”) provides that, at any time following the earlier of (i) stockholder approval or (ii) six months after the initial issuance of the Series C Preferred Stock, if the Company fails to timely deliver shares of common stock to a converting holder in accordance with the terms of the Certificate of Designation, such holder may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 to pay cash in an amount equal to the fair value of the undelivered shares. As a result, the Company concluded that the proceeds received from the private placement financing cannot be relied upon to mitigate conditions that raise substantial doubt because the availability of those proceeds is subject to conditions that are not entirely within the Company’s control. The conversion of the Series C Preferred Stock into common stock and therefore removal of the requirement to make cash payment based on the value of the undelivered shares is subject to a vote of the Company's stockholders.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ability to satisfy the potential cash settlement obligations associated with the Series C Preferred Stock is not entirely within its control, as it is contingent on, among other things, the Company’s ability to obtain stockholder approval and to deliver shares of common stock upon conversion within the timeframes required by the Certificate of Designation. If the Company is unable to obtain stockholder approval in a timely manner, or is otherwise unable to timely deliver shares of common stock upon conversion, holders who submit conversion notices after the applicable trigger date could require the Company to make significant cash payments that could substantially reduce the Company’s available cash resources. Factoring in these potential cash payments, based on its current operating plan, the Company believes that its cash and cash equivalents balance will not be sufficient to fund operations and capital expenditures for at least the twelve months following the issuance of these unaudited condensed consolidated financial statements. Accordingly, the Company concluded that substantial doubt about the Company’s ability to continue as a going concern continues to exist within one year after the date these financial statements are available to be issued.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on a going concern basis, which contemplates the realization of assets and satisfaction of liabilities in the ordinary course of business. The unaudited condensed consolidated financial statements do not include any adjustments relating to the recoverability and classification of recorded asset amounts or the amounts and classification of liabilities that might result from the outcome of this uncertainty.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Quince Therapeutics, Inc. and its wholly owned subsidiaries. All intercompany balances and transactions have been eliminated upon consolidation.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and the notes thereto have been prepared in accordance with GAAP for interim financial information and pursuant to the instructions of the SEC on Form 10-Q and Article 8 of Regulation S-X. Accordingly, they do not include all of the information and footnotes required by GAAP for complete financial statements. In management’s opinion, all adjustments (consisting only of normal recurring adjustments) considered necessary for the fair statement of the results of operations and cash flows for the periods presented have been included.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balance sheet as of June 30, 2026, the condensed consolidated statements of operations and comprehensive loss for the three and six months ended June 30, 2026 and 2025, the condensed consolidated statements of Series C Preferred Stock and stockholders’ equity (deficit) for the three and six months ended June 30, 2026 and 2025, the condensed consolidated statements of cash flows for the six months ended June 30, 2026 and 2025, and the financial data and other financial information disclosed in the notes to the condensed consolidated financial statements are unaudited. These financial statements should be read in conjunction with the audited financial statements and notes thereto for the year ended December 31, 2025 included in the Company’s Form 10-K filed with the SEC on April 10, 2026. The results of operations for the three and six months ended June 30, 2026 are not necessarily indicative of the results to be expected for the year ending December 31, 2026 or for any other future annual or interim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Reverse Stock Splits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29, 2026, the Company effected a 1-for-20 reverse stock split of its outstanding common stock (the “June 2026 Reverse Stock Split”). The June 2026 Reverse Stock Split became effective as of 11:59 p.m., Eastern Time, on June 29, 2026 and the Company’s common stock began trading on the Nasdaq Stock Market on a split-adjusted basis on June 30, 2026. The June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Reverse Stock Split did not change the par value of the common stock or the authorized number of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10, 2026, the Company effected a 1-for-10 reverse stock split of its outstanding common stock (the “April 2026 Reverse Stock Split”). The April 2026 Reverse Stock Split became effective as of 11:59 p.m., Eastern Time, on April 10, 2026 and the Company’s common stock began trading on the Nasdaq Stock Market on a split-adjusted basis on April 13, 2026. The April 2026 Reverse Stock Split did not change the par value of the common stock or the authorized number of shares of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share and per share information has been retroactively adjusted to reflect the April and June 2026 Reverse Stock Splits (collectively, the "Reverse Stock Splits") for all periods presented in this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conformity with GAAP requires management to make estimates and assumptions that affect the reported amounts of assets, liabilities, and expenses, as well as related disclosure of contingent assets and liabilities. The most significant estimates used in the Company’s condensed consolidated financial statements relate to the determination of the fair value of identifiable assets and liabilities in connection with business combinations including associated intangible assets, the fair value of contingent consideration, warrant liabilities and debt, accruals for research and development costs, useful lives of long-lived assets, stock-based compensation and related assumptions, the incremental borrowing rate for leases and income tax uncertainties, including a valuation allowance for deferred tax assets, impairment of intangible assets; and contingencies. The Company bases its estimates on historical experience and on various other market specific and other relevant assumptions that it believes to be reasonable under the circumstances, the results of which form the basis for making judgments about the carrying values of assets and liabilities that are not readily apparent from other sources. Actual results could differ materially from the Company’s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Translation and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functional currency of the Company’s wholly-owned international subsidiaries is the Euro. Prior to the dissolution of the Company's Australian subsidiary, the functional currency of that subsidiary was the Australian Dollar. The Company's financial results and financial position are translated into U.S. dollars using exchange rates at balance sheet dates for assets and liabilities and using average exchange rates for income and expenses. The resulting translation differences are presented as a separate component of accumulated other comprehensive loss, as a separate component of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currency transactions are translated into the functional currencies using the exchange rates prevailing at the dates of the transactions. Foreign exchange gains and losses, resulting from the settlement of such transactions and from the re-measurement of monetary assets and liabilities denominated in foreign currencies using exchange rates at balance sheet date and non-monetary assets and liabilities using historical exchange rates, are recognized in the condensed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manages its business activities on a consolidated basis and operates as one operating and reportable segment, for the purposes of assessing performance and making operating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segments are defined as components of an enterprise for which discrete financial information is available and is evaluated regularly by the Chief Operating Decision Maker ("CODM"), in deciding how to allocate resources and assess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Chief Executive Officer, who is the CODM, reviews financial information on a consolidated basis for purposes of allocating and evaluating financial performance. The CODM evaluates the Company’s performance and resource allocation by analyzing consolidated financial information. See Note 16 for further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Combination and Asset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whether an acquisition should be accounted for as a business combination or an asset acquisition under ASC 805, Business Combinations, based on whether substantially all of the fair value of the gross assets acquired is concentrated in a single identifiable asset or group of similar identifiable assets. Transactions that do not meet the definition of a business are accounted for as asset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evaluates whether the acquired entity is a variable interest entity ("VIE") under ASC 810, Consolidation. If the acquired entity is a VIE, the primary beneficiary is identified as the accounting acquirer.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Replacement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the Company assumes and replaces outstanding stock options of an acquired entity, the fair value of the replacement awards is measured as of the acquisition date using the Black-Scholes option-pricing model. The portion of the fair value attributable to pre-combination service is included in consideration, and the portion attributable to post-combination service is recognized as future compensation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assesses its preferred stock to determine whether it should be classified as a liability, mezzanine equity, or permanent equity. This assessment first considers whether the preferred stock meets the definition of a mandatorily redeemable financial instrument or is otherwise required to be classified as a liability under ASC 480, Distinguishing Liabilities from Equity. This includes an evaluation of any provisions labeled as a redemption feature, call option, or conversion option to determine whether the underlying redemption or settlement terms in substance require the Company to redeem the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preferred stock that is not classified as a liability under ASC 480, the Company assesses whether the preferred stock should be classified as mezzanine equity or permanent equity. This assessment considers whether the preferred stock is redeemable (i) at a fixed or determinable price on a fixed or determinable date, (ii) at the option of the holder, or (iii) upon the occurrence of an event that is not solely within the Company's control. The Company also considers whether the preferred stock contains liquidation provisions, including fundamental transaction or deemed liquidation provisions, that carry the general characteristics of a redemption feature. Preferred stock that meets any of these conditions is classified as mezzanine equity and presented outside of permanent equity on the Company's condensed consolidated balance sheets. At all other times, the Company classifies its preferred stock in stockholders’ equity (deficit).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preferred stock is classified as mezzanine equity, the Company further evaluates whether the preferred stock is currently redeemable or probable of becoming redeemable to determine whether the carrying value should be remeasured to its redemption value as of each balance sheet 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Definite lived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Intangible assets with a definite useful life are amortized on a straight-line basis over the estimated useful life of the related assets. The Company regularly reviews whether current conditions or events suggest that the carrying values of its acquired definite lived intangible assets might not be recoverable. When such conditions are identified, an estimate of the undiscounted future cash flows from these assets, or relevant asset groupings, is compared to their carrying value to determine if an impairment exists. If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impairment is identified, the loss is calculated as the difference between the carrying value of the intangible asset and its fair value, which is based on the net present value of the estimated future cash flows.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Indefinite lived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with an indefinite useful life are not amortized. Intangible assets acquired in a business combination or an acquisition that are used in research and development activities (regardless of whether they have an alternative future use) shall be considered indefinite lived until the completion or abandonment of the associated research and development efforts. Intangible assets acquired in an asset acquisition with no alternative future use are allocated a portion of the consideration transferred and charged to expenses at the acquisition date. Intangible assets acquired in a business combination are initially recorded at fair value. During the period that those assets are considered indefinite lived, they shall not be amortized but shall be tested for impairment. Once the research and development efforts are completed or abandoned, the entity shall determine the useful life of the assets. An indefinite lived intangible asset shall be tested for impairment annually and more frequently if events or changes in circumstances indicate that it is more likely than not that the asset is impaired. The Company first assesses qualitative factors to determine whether it is more likely than not that the fair value of the intangible asset is less than its carrying amount. If that is the case, the Company performs a quantitative impairment test, and, if the carrying amount of the Company exceeds its fair value, then the Company will recognize an impairment charge for the amount by which its carrying amount exceeds its fair value, not to exceed the carrying amount of the intangible asset. Qualitative factors to be considered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factors such as increases in raw materials, labor, or other costs that have a negative effect on future expected earnings and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Legal/regulatory factors or progress and results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relevant entity-specific events such as changes in management, key personnel, strategy, or customers; contemplation of bankruptcy; or litigation that could affect significant inputs used to determine the fair value of the indefinite-lived intangible asset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Industry and market considerations such as a deterioration in the environment in which an entity operates, or a more competitive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such as deterioration in general economic conditions, limitations on accessing capital, fluctuations in foreign exchange rates, or other developments in equity and credit markets that could affect significant inputs used to determine the fair value of the indefinite-lived intangible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clinical readout of the Phase 3 NEAT study in January 2026, which led the Company to discontinue development of its encapsulated dexamethasone sodium phosphate encapsulated in patient's own red blood cells (“eDSP") product candidate, the research and development associated with the in-process research and development ("IPR&amp;D") was abandoned and an impairment charge recorded to reduce the carrying value to zero.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Intangible assets acquired in an asset acquisition that are used in research and development activities (regardless of whether they have an alternative future use) shall be considered indefinite lived until the completion or abandonment of the associated research and development efforts.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determines the fair value of contingent consideration related to the Company's acquisition of EryDel in October 2023 using a probability-weighted discounted cash flow method, with significant inputs that are not observable in the market and thus represents a Level 3 fair value measurement as defined in ASC Topic 820, Fair Value Measurement. The significant inputs in the Level 3 measurement not supported by market activity include the probability assessments of expected future cash flows, during the contingent consideration period, appropriately discounted considering the uncertainties associated with the earnout obligation, and calculated in accordance with the terms of the definitive agreement. The liability for the contingent consideration were initially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established at the time of the acquisition and are evaluated on a quarterly basis based on additional information as it becomes available. Any change in the fair value adjustment is recorded in the earnings of that period. Changes in the fair value of the contingent consideration obligations may result from changes in probability assumptions with respect to the likelihood of achieving the various contingent payment obligations. Significant increases or decreases in the inputs noted above in isolation would result in a significantly lower or higher fair value measurement. As a result of the clinical readout of the Phase 3 NEAT study in January 2026, which led the Company to discontinue development of eDSP, the criteria for the contingent consideration payments will not be met, resulting in the related liability being reduced to zero.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all highly liquid investments with maturities of three months or less when purchased to be cash equivalents. Cash equivalents include marketable securities. Management determines the appropriate classification of its investments in debt securities at the time of purchase and at the end of each reporting period. Investments with maturities beyond three months at the date of purchase and which mature at, or less than twelve months from the balance sheet date are classified as short-term investments. Collectively, cash equivalents and short-term investments are considered available-for-sale and are recorded at fair value. Unrealized gains and losses are recorded as a component of other comprehensive loss in the consolidated statements of operations and included as a separate component of consolidated statements of stockholders’ equity. Realized gains and losses are included in interest income in the condensed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Premiums (discounts) are amortized (accreted) over the life of the related investment as an adjustment to yield using the straight-line interest method. Dividend and interest income are recognized when earned. These amounts are recorded in “interest income” in the condensed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accounts for warrants as equity-classified or liability-classified instruments based on an assessment of the warrant’s specific terms. The assessment considers whether the warrants are freestanding financial instruments, meet the definition of a liability, and whether the warrants meet all of the requirements for equity classification,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warrants that meet all criteria for equity classification, the warrants are recorded as a component of additional paid-in capital in the condensed consolidated balance sheets at the time of issuance. For warrants that do not meet all the criteria for equity classification, the warrants are recorded as liabilities at their initial fair value on the date of issuance, and each balance sheet date thereafter. Changes in the estimated fair value of the warrants are recognized within the condensed consolidated statements of operations. The fair value of the warrants is estimated using the Black-Scholes option pricing model (see Note 11).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Reserve for Italian Research and Development Tax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 reserve for Italian research and development tax credits to reflect estimated loss of utilization due to the wind-down of the business. This estimate is based on historical utilization and management’s judgment regarding forecasted utilization. Adjustments are recorded in research and development operating expense in the period they become known.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new accounting standards adopted during the three and six months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are new accounting pronouncements that the Company is evaluating for future impacts on its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ASU 2024-03, </w:t>
      </w:r>
      <w:r>
        <w:rPr>
          <w:rFonts w:ascii="Times New Roman" w:hAnsi="Times New Roman"/>
          <w:i/>
          <w:color w:val="000000"/>
          <w:sz w:val="20"/>
        </w:rPr>
        <w:t>Disaggregation of Income Statement Expenses (“DISE”)</w:t>
      </w:r>
      <w:r>
        <w:rPr>
          <w:rFonts w:ascii="Times New Roman" w:hAnsi="Times New Roman"/>
          <w:color w:val="000000"/>
          <w:sz w:val="20"/>
        </w:rPr>
        <w:t>. In November 2024, the FASB issued a new accounting standard to improve the disclosures about an entity’s expenses and address requests from investors for more detailed information about the types of expenses included in commonly presented expense captions. The new standard is effective for annual reporting periods beginning after December 15, 2026, and interim reporting periods beginning after December 15, 2027, with retrospective application permitted. The Company is evaluating the disclosure requirements related to the new standard.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ASU 2025-11, Interim Reporting (Topic 270): Narrow-Scope Improvements. In December 2025, the FASB issued a new accounting standard to clarify the applicability of interim reporting guidance under GAAP, provide a comprehensive list of interim disclosure requirements within Topic 270, and introduce a disclosure principle requiring entities to provide information about events and changes occurring after the end of the most recent annual reporting period that have a material impact on the entity. The ASU does not change the fundamental nature of interim reporting or expand or reduce existing interim disclosure requirements. ASU 2025-11 is effective for interim reporting periods within annual reporting periods beginning after December 15, 2027 for public business entities, with early adoption permitted. The Company is currently evaluating the impact of this guidance on its interim financial reporting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newly issued accounting pronouncements not yet effective have been deemed either immaterial or not applicable.</w:t>
      </w:r>
    </w:p>
    <w:p>
      <w:pPr>
        <w:pStyle w:val="TextBody"/>
        <w:bidi w:val="0"/>
        <w:spacing w:before="240" w:after="283"/>
        <w:jc w:val="left"/>
        <w:rPr>
          <w:rFonts w:ascii="Times New Roman" w:hAnsi="Times New Roman"/>
          <w:sz w:val="20"/>
        </w:rPr>
      </w:pPr>
      <w:r>
        <w:rPr>
          <w:rFonts w:ascii="Times New Roman" w:hAnsi="Times New Roman"/>
          <w:b/>
          <w:color w:val="000000"/>
          <w:sz w:val="20"/>
        </w:rPr>
        <w:t>Note 3. Asset Acquisition</w:t>
      </w:r>
      <w:r>
        <w:rPr>
          <w:rFonts w:ascii="Times New Roman" w:hAnsi="Times New Roman"/>
          <w:color w:val="000000"/>
          <w:sz w:val="20"/>
        </w:rPr>
        <w:t xml:space="preserve">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Acquisition of Orphai Therapeutics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On May 18, 2026, the Company acquired Orphai pursuant to that certain Agreement and Plan of Merger, dated May 17, 2026 (the "Merger Agreement"). Under the terms of the Merger Agreement, following closing of the Orphai Acquisition, the Company issued to holders of Orphai, an aggregate of (i) 162,971 shares of the Company’s common stock and (ii) 67,101.235 shares of Series C Preferred Stock, each share of which is convertible into 52 shares of common stock, as adjusted for the June 2026 Reverse Stock Split, subject to certain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Merger Agreement, options to purchase Orphai common stock were assumed by the Company and were converted into options to purchase an aggregate of 1,308,804 shares of common stock, which options are subject to exercise restrictions prior to obtaining approval during a special meeting of stockholders. In addition, the Company issued to holders of Orphai warrants (the "Acquisition Warrants") to purchase an aggregate of 10,964.505 shares of Series C Preferred Stock (or 570,169 shares on an as-converted-to-common basis, and without giving effect to any beneficial ownership limitations), at an exercise price of $996.90 per share of Series C Preferred Stock (or $19.17 per share on an as-converted-to-common basis, as adjusted for the June 2026 Reverse Stock Split).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18, 2026, concurrent with the Orphai Acquisition, the Company entered into a securities purchase agreement (the "May 2026 Securities Purchase Agreement") for a private placement financing with new and returning investors to raise up to $187.0 million in gross proceeds, which includes $115.0 million in upfront proceeds and up to an additional approximately $72.0 million upon exercise of accompanying warrants, in which the investors were issued approximately 144,200.633 shares of Series C Preferred Stock (convertible into an aggregate of 7,498,447 shares of common stock, without giving effect to any beneficial ownership limitations) at a price of $797.50 per share, and accompanying warrants (the "Financing Warrants") to purchase up to 72,100.322 shares of Series C Preferred Stock (or 3,749,231 shares, on an as-converted-to-common basis and without giving effect to any beneficial ownership limitations) at an exercise price of $996.90 per share (or $19.17 per share on an as-converted-to-common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"May 2026 Financing"). For additional information relating to the May 2026 Financing, see Notes 4, 9, 10, and 11 to these unaudited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Orphai Acquisition was accounted for as an asset acquisition as Orphai did not meet the definition of a business under ASC Topic 805, Business Combinations (“ASC 805”) as substantially all of its value was in the IPR&amp;D asset. Accordingly, the acquired net assets and assumed net liabilities of Orphai are recorded as of the Orphai Acquisition closing date at their fair value. The Company was determined to be the accounting acquirer based upon the terms of the Orphai Acquisition. Orphai was determined to be a variable interest entity (“VIE”) as it was insufficiently capitalized to fund future operations, where the Company is the primary beneficiary. As such, the acquisition costs of $2.1 million were expensed and not capitalized as part of the purchase price in accordance with ASC 805. In addition, the excess of the consideration transferred, and the fair value of the net asset acquired, IPR&amp;D, and net liabilities assumed were recorded as an asset acquisition loss and included in the gain on Orphai Acquisition line item in the condensed consolidated statements of operations and comprehensive loss.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estimated fair value of the consideration transferred of $56.9 million (in thousands):</w:t>
      </w:r>
    </w:p>
    <w:tbl>
      <w:tblPr>
        <w:tblW w:w="5840" w:type="dxa"/>
        <w:jc w:val="left"/>
        <w:tblInd w:w="0" w:type="dxa"/>
        <w:tblLayout w:type="fixed"/>
        <w:tblCellMar>
          <w:top w:w="28" w:type="dxa"/>
          <w:left w:w="28" w:type="dxa"/>
          <w:bottom w:w="28" w:type="dxa"/>
          <w:right w:w="28" w:type="dxa"/>
        </w:tblCellMar>
      </w:tblPr>
      <w:tblGrid>
        <w:gridCol w:w="4016"/>
        <w:gridCol w:w="346"/>
        <w:gridCol w:w="211"/>
        <w:gridCol w:w="676"/>
        <w:gridCol w:w="591"/>
      </w:tblGrid>
      <w:tr>
        <w:trPr/>
        <w:tc>
          <w:tcPr>
            <w:tcW w:w="4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Common stock consideration </w:t>
            </w:r>
            <w:r>
              <w:rPr>
                <w:rFonts w:ascii="Times New Roman" w:hAnsi="Times New Roman"/>
                <w:color w:val="000000"/>
                <w:sz w:val="13"/>
              </w:rPr>
              <w: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Preferred stock consideration </w:t>
            </w:r>
            <w:r>
              <w:rPr>
                <w:rFonts w:ascii="Times New Roman" w:hAnsi="Times New Roman"/>
                <w:color w:val="000000"/>
                <w:sz w:val="13"/>
              </w:rPr>
              <w:t>(b)</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Warrant consideration </w:t>
            </w:r>
            <w:r>
              <w:rPr>
                <w:rFonts w:ascii="Times New Roman" w:hAnsi="Times New Roman"/>
                <w:color w:val="000000"/>
                <w:sz w:val="13"/>
              </w:rPr>
              <w:t>(c)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Assumed share-based awards </w:t>
            </w:r>
            <w:r>
              <w:rPr>
                <w:rFonts w:ascii="Times New Roman" w:hAnsi="Times New Roman"/>
                <w:color w:val="000000"/>
                <w:sz w:val="13"/>
              </w:rPr>
              <w:t>(d)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of total consideration transferred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sz w:val="20"/>
        </w:rPr>
      </w:pPr>
      <w:r>
        <w:rPr>
          <w:rFonts w:ascii="Times New Roman" w:hAnsi="Times New Roman"/>
          <w:color w:val="000000"/>
          <w:sz w:val="18"/>
        </w:rPr>
        <w:t>The fair value of consideration transferred was based on 162,971</w:t>
      </w:r>
      <w:r>
        <w:rPr>
          <w:rFonts w:ascii="Times New Roman" w:hAnsi="Times New Roman"/>
          <w:color w:val="000000"/>
          <w:sz w:val="20"/>
        </w:rPr>
        <w:t xml:space="preserve"> </w:t>
      </w:r>
      <w:r>
        <w:rPr>
          <w:rFonts w:ascii="Times New Roman" w:hAnsi="Times New Roman"/>
          <w:color w:val="000000"/>
          <w:sz w:val="18"/>
        </w:rPr>
        <w:t>shares of Common Stock issued multiplied by the closing price of Quince common stock on the acquisition date of May 18, 2026.</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sz w:val="20"/>
        </w:rPr>
      </w:pPr>
      <w:r>
        <w:rPr>
          <w:rFonts w:ascii="Times New Roman" w:hAnsi="Times New Roman"/>
          <w:color w:val="000000"/>
          <w:sz w:val="18"/>
        </w:rPr>
        <w:t>The fair value of 67,101.235</w:t>
      </w:r>
      <w:r>
        <w:rPr>
          <w:rFonts w:ascii="Times New Roman" w:hAnsi="Times New Roman"/>
          <w:color w:val="000000"/>
          <w:sz w:val="20"/>
        </w:rPr>
        <w:t xml:space="preserve"> </w:t>
      </w:r>
      <w:r>
        <w:rPr>
          <w:rFonts w:ascii="Times New Roman" w:hAnsi="Times New Roman"/>
          <w:color w:val="000000"/>
          <w:sz w:val="18"/>
        </w:rPr>
        <w:t>shares of Series C Preferred Stock was based on the fair value of the Series C Preferred Stock issued in the May 2026 Financing. For additional information, see Note 9 to these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w:t>
      </w:r>
    </w:p>
    <w:p>
      <w:pPr>
        <w:pStyle w:val="TextBody"/>
        <w:bidi w:val="0"/>
        <w:jc w:val="left"/>
        <w:rPr>
          <w:rFonts w:ascii="Times New Roman" w:hAnsi="Times New Roman"/>
          <w:sz w:val="20"/>
        </w:rPr>
      </w:pPr>
      <w:r>
        <w:rPr>
          <w:rFonts w:ascii="Times New Roman" w:hAnsi="Times New Roman"/>
          <w:color w:val="000000"/>
          <w:sz w:val="18"/>
        </w:rPr>
        <w:t>The fair value of the warrants issued was determined utilizing the Black-Scholes-Merton option pricing model. Quince issued 10,964.505</w:t>
      </w:r>
      <w:r>
        <w:rPr>
          <w:rFonts w:ascii="Times New Roman" w:hAnsi="Times New Roman"/>
          <w:color w:val="000000"/>
          <w:sz w:val="20"/>
        </w:rPr>
        <w:t xml:space="preserve"> </w:t>
      </w:r>
      <w:r>
        <w:rPr>
          <w:rFonts w:ascii="Times New Roman" w:hAnsi="Times New Roman"/>
          <w:color w:val="000000"/>
          <w:sz w:val="18"/>
        </w:rPr>
        <w:t xml:space="preserve">warrants of Series C Preferred Stock. For additional information, see Note 11 to these unaudited condensed consolidated financial statements. </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w:t>
      </w:r>
    </w:p>
    <w:p>
      <w:pPr>
        <w:pStyle w:val="TextBody"/>
        <w:bidi w:val="0"/>
        <w:jc w:val="left"/>
        <w:rPr>
          <w:rFonts w:ascii="Times New Roman" w:hAnsi="Times New Roman"/>
          <w:color w:val="000000"/>
          <w:sz w:val="18"/>
        </w:rPr>
      </w:pPr>
      <w:r>
        <w:rPr>
          <w:rFonts w:ascii="Times New Roman" w:hAnsi="Times New Roman"/>
          <w:color w:val="000000"/>
          <w:sz w:val="18"/>
        </w:rPr>
        <w:t>Each outstanding and unexercised option award to purchase shares of Orphai common stock was converted into an option award in respect of a number of shares of common stock of the Company. The calculation of consideration transferred includes the portion of the fair-value-based measure of the acquiree awards that relates to the pre-combination service period. The excess value of the replacement Quince awards as well as the fair-value-based measure of the acquiree award related to the post combination service period will be recorded as post combination compensation cost over the remaining service term.</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 summarizes the allocation of the estimated fair value of the consideration transferred to the net assets acquired and liabilities assumed, with the excess recorded to gain on acquisition (in thousands):</w:t>
      </w:r>
    </w:p>
    <w:p>
      <w:pPr>
        <w:pStyle w:val="TextBody"/>
        <w:bidi w:val="0"/>
        <w:jc w:val="left"/>
        <w:rPr/>
      </w:pPr>
      <w:r>
        <w:rPr/>
        <w:t> </w:t>
      </w:r>
    </w:p>
    <w:tbl>
      <w:tblPr>
        <w:tblW w:w="6250" w:type="dxa"/>
        <w:jc w:val="left"/>
        <w:tblInd w:w="0" w:type="dxa"/>
        <w:tblLayout w:type="fixed"/>
        <w:tblCellMar>
          <w:top w:w="28" w:type="dxa"/>
          <w:left w:w="28" w:type="dxa"/>
          <w:bottom w:w="28" w:type="dxa"/>
          <w:right w:w="28" w:type="dxa"/>
        </w:tblCellMar>
      </w:tblPr>
      <w:tblGrid>
        <w:gridCol w:w="4506"/>
        <w:gridCol w:w="346"/>
        <w:gridCol w:w="211"/>
        <w:gridCol w:w="676"/>
        <w:gridCol w:w="511"/>
      </w:tblGrid>
      <w:tr>
        <w:trPr/>
        <w:tc>
          <w:tcPr>
            <w:tcW w:w="45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acquired: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In-process research and development </w:t>
            </w:r>
            <w:r>
              <w:rPr>
                <w:rFonts w:ascii="Times New Roman" w:hAnsi="Times New Roman"/>
                <w:color w:val="000000"/>
                <w:sz w:val="13"/>
              </w:rPr>
              <w: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assumed: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payables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assets acquired and liabilities assumed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Gain on Orphai Acquisition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(e)</w:t>
      </w:r>
    </w:p>
    <w:p>
      <w:pPr>
        <w:pStyle w:val="TextBody"/>
        <w:bidi w:val="0"/>
        <w:jc w:val="left"/>
        <w:rPr>
          <w:rFonts w:ascii="Times New Roman" w:hAnsi="Times New Roman"/>
          <w:color w:val="000000"/>
          <w:sz w:val="18"/>
        </w:rPr>
      </w:pPr>
      <w:r>
        <w:rPr>
          <w:rFonts w:ascii="Times New Roman" w:hAnsi="Times New Roman"/>
          <w:color w:val="000000"/>
          <w:sz w:val="18"/>
        </w:rPr>
        <w:t xml:space="preserve">IPR&amp;D represents the research and development projects of Orphai which were in-process, but not yet completed, and which the Company plans to advance. The fair value of IPR&amp;D projects acquired in an asset acquisition with no alternative future use are allocated a portion of the consideration transferred and charged to expenses at the acquisition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Company's financial instruments reflects the amounts that the Company estimates that it would receive in connection with the sale of an asset or pay in connection with the transfer of a liability in an orderly transaction between market participants at the measurement date (exit price). The Company discloses and recognizes the fair value of the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 Inputs that reflect unadjusted quoted prices in active markets for identical assets or liabilities that the Company has the ability to access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 Inputs other than quoted prices that are observable for the assets or liability either directly or indirectly, including inputs in markets that are not considered to be active.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 Inputs that are unobservable. Assets and liabilities measured at fair value are classified in their entirety based on the lowest level of input that is significant to the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assessment of the significance of a particular input to the fair value measurement in its entirety requires management to make judgments and consider factors specific to the asset or liability. The Company recognizes transfers between levels of the fair value hierarchy as of the end of the reporting period. There were no transfers within the hierarchy during the six months ended June 30, 2026 and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elected the fair value option for the EIB Loan guaranteed by the Company in connection with the EryDel Acquisition. The Company had adjusted the EIB Loan to fair value through the change in fair value of debt in the accompanying condensed consolidated statements of operations and comprehensive loss. Subsequent unrealized gains and losses on items for which the fair value option is elected were reported in earnings. The Company will break out any change in value due to credit loss in accumulated other comprehensive loss. For the three and six months ended June 30, 2026 and year ended December 31, 2025, there was no change in value due to credit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assets and liabilities subject to fair value measurements on a recurring basis and the level of inputs used in such measurements by major security type as of June 30, 2026 and December 31, 2025 are presented in the following tables (in thousands):</w:t>
      </w:r>
    </w:p>
    <w:p>
      <w:pPr>
        <w:pStyle w:val="TextBody"/>
        <w:bidi w:val="0"/>
        <w:jc w:val="left"/>
        <w:rPr/>
      </w:pPr>
      <w:r>
        <w:rPr/>
        <w:t> </w:t>
      </w:r>
    </w:p>
    <w:tbl>
      <w:tblPr>
        <w:tblW w:w="6855" w:type="dxa"/>
        <w:jc w:val="left"/>
        <w:tblInd w:w="0" w:type="dxa"/>
        <w:tblLayout w:type="fixed"/>
        <w:tblCellMar>
          <w:top w:w="28" w:type="dxa"/>
          <w:left w:w="28" w:type="dxa"/>
          <w:bottom w:w="28" w:type="dxa"/>
          <w:right w:w="28" w:type="dxa"/>
        </w:tblCellMar>
      </w:tblPr>
      <w:tblGrid>
        <w:gridCol w:w="2046"/>
        <w:gridCol w:w="146"/>
        <w:gridCol w:w="211"/>
        <w:gridCol w:w="781"/>
        <w:gridCol w:w="146"/>
        <w:gridCol w:w="146"/>
        <w:gridCol w:w="211"/>
        <w:gridCol w:w="781"/>
        <w:gridCol w:w="146"/>
        <w:gridCol w:w="146"/>
        <w:gridCol w:w="239"/>
        <w:gridCol w:w="391"/>
        <w:gridCol w:w="146"/>
        <w:gridCol w:w="146"/>
        <w:gridCol w:w="211"/>
        <w:gridCol w:w="571"/>
        <w:gridCol w:w="39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327" w:type="dxa"/>
        <w:jc w:val="left"/>
        <w:tblInd w:w="0" w:type="dxa"/>
        <w:tblLayout w:type="fixed"/>
        <w:tblCellMar>
          <w:top w:w="28" w:type="dxa"/>
          <w:left w:w="28" w:type="dxa"/>
          <w:bottom w:w="28" w:type="dxa"/>
          <w:right w:w="28" w:type="dxa"/>
        </w:tblCellMar>
      </w:tblPr>
      <w:tblGrid>
        <w:gridCol w:w="3261"/>
        <w:gridCol w:w="146"/>
        <w:gridCol w:w="211"/>
        <w:gridCol w:w="781"/>
        <w:gridCol w:w="146"/>
        <w:gridCol w:w="146"/>
        <w:gridCol w:w="211"/>
        <w:gridCol w:w="571"/>
        <w:gridCol w:w="146"/>
        <w:gridCol w:w="146"/>
        <w:gridCol w:w="211"/>
        <w:gridCol w:w="676"/>
        <w:gridCol w:w="146"/>
        <w:gridCol w:w="146"/>
        <w:gridCol w:w="211"/>
        <w:gridCol w:w="781"/>
        <w:gridCol w:w="39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and agency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classifies government and agency notes as Level 2 investments as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or quotes on the same or similar securities. The Company does not make additional judgments or assumptions made to the pricing data sourced from the third-party pricing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Level 3 Assets and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reflects the changes in present value of acquisition related accrued earnouts of contingent consideration liability using significant unobservable inputs (Level 3) for the six months ended June 30, 2026 and 2025 (in thousands):</w:t>
      </w:r>
    </w:p>
    <w:p>
      <w:pPr>
        <w:pStyle w:val="TextBody"/>
        <w:bidi w:val="0"/>
        <w:jc w:val="left"/>
        <w:rPr/>
      </w:pPr>
      <w:r>
        <w:rPr/>
        <w:t> </w:t>
      </w:r>
    </w:p>
    <w:tbl>
      <w:tblPr>
        <w:tblW w:w="4670" w:type="dxa"/>
        <w:jc w:val="left"/>
        <w:tblInd w:w="0" w:type="dxa"/>
        <w:tblLayout w:type="fixed"/>
        <w:tblCellMar>
          <w:top w:w="28" w:type="dxa"/>
          <w:left w:w="28" w:type="dxa"/>
          <w:bottom w:w="28" w:type="dxa"/>
          <w:right w:w="28" w:type="dxa"/>
        </w:tblCellMar>
      </w:tblPr>
      <w:tblGrid>
        <w:gridCol w:w="1771"/>
        <w:gridCol w:w="146"/>
        <w:gridCol w:w="250"/>
        <w:gridCol w:w="875"/>
        <w:gridCol w:w="166"/>
        <w:gridCol w:w="146"/>
        <w:gridCol w:w="267"/>
        <w:gridCol w:w="85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contingent consideration arrangement required the Company to pay up to $485.0 million of additional consideration in cash, comprised of up to $5.0 million upon the enrollment of the first patient in the Phase 3 NEAT clinical trial, which was paid in 2024, $25.0 million at NDA acceptance, up to $60.0 million upon the achievement of specified approval milestones, and up to $395.0 million upon the achievement of specified on market and sales milestones. As a result of the clinical readout of the Phase 3 NEAT study in January 2026, which led the Company to discontinue development of eDSP, the criteria for the contingent consideration payments will not be met, resulting in the related liability being reduced to zero during the six months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estimate the fair value of the contingent consideration, the Company used a probability-weighted discounted cash flow model with an expected present value valuation technique with significant unobservable fair value inputs and is therefore classified as a Level 3 measurement. The estimates of fair value are uncertain and changes in the estimated inputs may result in significant adjustments to the fair value. The unobservable inputs consisted of the expected timing of milestone completion dates, probability of achievement, and discount rate. The change in the fair value of the contingent consideration during the six months ended June 30, 2025 is primarily due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expected timing of achieving various milestones, and the passage of time related to the contingent consideration earnout resulting from the EryDel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assumptions used in the valuation of the contingent consideration in the period presented:</w:t>
      </w:r>
    </w:p>
    <w:p>
      <w:pPr>
        <w:pStyle w:val="TextBody"/>
        <w:bidi w:val="0"/>
        <w:jc w:val="left"/>
        <w:rPr/>
      </w:pPr>
      <w:r>
        <w:rPr/>
        <w:t> </w:t>
      </w:r>
    </w:p>
    <w:tbl>
      <w:tblPr>
        <w:tblW w:w="5728" w:type="dxa"/>
        <w:jc w:val="left"/>
        <w:tblInd w:w="0" w:type="dxa"/>
        <w:tblLayout w:type="fixed"/>
        <w:tblCellMar>
          <w:top w:w="28" w:type="dxa"/>
          <w:left w:w="28" w:type="dxa"/>
          <w:bottom w:w="28" w:type="dxa"/>
          <w:right w:w="28" w:type="dxa"/>
        </w:tblCellMar>
      </w:tblPr>
      <w:tblGrid>
        <w:gridCol w:w="4036"/>
        <w:gridCol w:w="146"/>
        <w:gridCol w:w="1546"/>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40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timing of milestones completion dates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2026 - 2038</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w:t>
            </w:r>
          </w:p>
        </w:tc>
      </w:tr>
      <w:tr>
        <w:trPr/>
        <w:tc>
          <w:tcPr>
            <w:tcW w:w="40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achievement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- 56.5%</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changes in the fair value of the Level 3 EIB Loan for the six months ended June 30, 2026 and 2025 (in thousands):</w:t>
      </w:r>
    </w:p>
    <w:p>
      <w:pPr>
        <w:pStyle w:val="TextBody"/>
        <w:bidi w:val="0"/>
        <w:jc w:val="left"/>
        <w:rPr/>
      </w:pPr>
      <w:r>
        <w:rPr/>
        <w:t> </w:t>
      </w:r>
    </w:p>
    <w:tbl>
      <w:tblPr>
        <w:tblW w:w="5875" w:type="dxa"/>
        <w:jc w:val="left"/>
        <w:tblInd w:w="0" w:type="dxa"/>
        <w:tblLayout w:type="fixed"/>
        <w:tblCellMar>
          <w:top w:w="28" w:type="dxa"/>
          <w:left w:w="28" w:type="dxa"/>
          <w:bottom w:w="28" w:type="dxa"/>
          <w:right w:w="28" w:type="dxa"/>
        </w:tblCellMar>
      </w:tblPr>
      <w:tblGrid>
        <w:gridCol w:w="2956"/>
        <w:gridCol w:w="146"/>
        <w:gridCol w:w="250"/>
        <w:gridCol w:w="875"/>
        <w:gridCol w:w="166"/>
        <w:gridCol w:w="146"/>
        <w:gridCol w:w="267"/>
        <w:gridCol w:w="858"/>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estimate the fair value of the EIB Loan, the Company used an expected present value valuation technique with significant unobservable inputs resulting in classification as a Level 3 measurement. The estimate of fair value is uncertain and changes in the estimated inputs may result in significant adjustments to the fair value. The unobservable inputs consisted of discount rate which includes the credit quality of the Company and credit spreads for comparable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assumptions including the unobservable inputs related to the Company's debt in the periods presented:</w:t>
      </w:r>
    </w:p>
    <w:p>
      <w:pPr>
        <w:pStyle w:val="TextBody"/>
        <w:bidi w:val="0"/>
        <w:jc w:val="left"/>
        <w:rPr/>
      </w:pPr>
      <w:r>
        <w:rPr/>
        <w:t> </w:t>
      </w:r>
    </w:p>
    <w:tbl>
      <w:tblPr>
        <w:tblW w:w="3163" w:type="dxa"/>
        <w:jc w:val="left"/>
        <w:tblInd w:w="0" w:type="dxa"/>
        <w:tblLayout w:type="fixed"/>
        <w:tblCellMar>
          <w:top w:w="28" w:type="dxa"/>
          <w:left w:w="28" w:type="dxa"/>
          <w:bottom w:w="28" w:type="dxa"/>
          <w:right w:w="28" w:type="dxa"/>
        </w:tblCellMar>
      </w:tblPr>
      <w:tblGrid>
        <w:gridCol w:w="1201"/>
        <w:gridCol w:w="146"/>
        <w:gridCol w:w="474"/>
        <w:gridCol w:w="1026"/>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Acquisition and Financing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Orphai Acquisition, the Company issued to holders of Orphai warrants the Acquisition Warrants to purchase 10,964.505 shares of Series C Preferred Stock (or 570,169 shares on an as-converted-to-common basis, and without giving effect to any beneficial ownership limitations), at an exercise price of $996.90 per share of Series C Preferred Stock (or $19.17 per share on an as-converted-to-common basis, as adjusted for the June 2026 Reverse Stock Split). </w:t>
      </w:r>
    </w:p>
    <w:p>
      <w:pPr>
        <w:pStyle w:val="TextBody"/>
        <w:bidi w:val="0"/>
        <w:spacing w:before="240" w:after="283"/>
        <w:jc w:val="left"/>
        <w:rPr>
          <w:rFonts w:ascii="Times New Roman" w:hAnsi="Times New Roman"/>
          <w:sz w:val="20"/>
        </w:rPr>
      </w:pPr>
      <w:r>
        <w:rPr>
          <w:rFonts w:ascii="Times New Roman" w:hAnsi="Times New Roman"/>
          <w:color w:val="000000"/>
          <w:sz w:val="20"/>
        </w:rPr>
        <w:t>Concurrent with the May 2026 Securities Purchase Agreement, the Company issued the Financing Warrants to purchase up to 72,100.322 shares of Series C Preferred Stock (or 3,749,231 shares, on an as-converted-to-common basis and without giving effect to any beneficial ownership limitations) at an exercise price of $996.90 per share (or $19.17 per share on an as-converted-to-common basis, as adjusted for the June 2026 Reverse Stock Split). Each Financing Warrant will be exercisable beginning on the trading day following the earlier of the Company’s public announcement of (a) top line data from the ongoing LAM-001 Phase 2 trial in Bronchiolitis Obliterans Syndrome (the “LAM-001 Trial”) and (b) the termination or suspension of the LAM-001 Trial and through the 30</w:t>
      </w:r>
      <w:r>
        <w:rPr>
          <w:rFonts w:ascii="Times New Roman" w:hAnsi="Times New Roman"/>
          <w:color w:val="000000"/>
          <w:sz w:val="13"/>
        </w:rPr>
        <w:t>th</w:t>
      </w:r>
      <w:r>
        <w:rPr>
          <w:rFonts w:ascii="Times New Roman" w:hAnsi="Times New Roman"/>
          <w:color w:val="000000"/>
          <w:sz w:val="20"/>
        </w:rPr>
        <w:t xml:space="preserve"> day following such public announcement and will be exercisable at a price equal to $996.90 per share of Series C Preferred Stock (or $19.17 per share on an as-converted-to-common basis, as adjusted for the June 2026 Reverse Stock Split) for up to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approximately $72.0 million in additional proceeds if exercised in full (with an additional up to $11.0 million in gross proceeds available upon the exercise of warrants issued to former Orphai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and Financing Warrants will become exercisable for common stock following the Company’s receipt of stockholder approval for the conversion of the Series C Preferred Stock issued in the Orphai Acquisition in accordance with Nasdaq Listing Rules, among other related acquisition matters, subject to certain beneficial ownership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and Financing Warrants are classified as liabilities on the Company's condensed consolidated balance sheet based on an assessment of the warrants' specific terms and applicable authoritative guidance in ASC 480. See Note 11 for further details. The warrant liability is initially measured at fair value upon issuance and is subsequently remeasured at fair value at each reporting date, with changes in fair value recognized in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the fair value of warrants utilizing the Black-Scholes option pricing model, which is dependent upon several Level 3 inputs that are not observable in active markets, including the expected term, volatility, risk-free interest rate, and expected dividends. Each of these inputs is subjective and generally requires significant judgment to determine.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key inputs used in the valuation of the liability classified Acquisition and Financing Warrants as of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4"/>
        <w:gridCol w:w="146"/>
        <w:gridCol w:w="751"/>
        <w:gridCol w:w="2036"/>
        <w:gridCol w:w="271"/>
        <w:gridCol w:w="146"/>
        <w:gridCol w:w="740"/>
        <w:gridCol w:w="2004"/>
        <w:gridCol w:w="271"/>
        <w:gridCol w:w="146"/>
        <w:gridCol w:w="413"/>
        <w:gridCol w:w="1097"/>
        <w:gridCol w:w="320"/>
      </w:tblGrid>
      <w:tr>
        <w:trPr/>
        <w:tc>
          <w:tcPr>
            <w:tcW w:w="1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Orphai Acquisition issuance date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Private Placement issuance date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 years</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changes in the fair value of the Level 3 liability classified Acquisition and Financing Warrants for the six months ended June 30, 2026:</w:t>
      </w:r>
    </w:p>
    <w:p>
      <w:pPr>
        <w:pStyle w:val="TextBody"/>
        <w:bidi w:val="0"/>
        <w:jc w:val="left"/>
        <w:rPr/>
      </w:pPr>
      <w:r>
        <w:rPr/>
        <w:t> </w:t>
      </w:r>
    </w:p>
    <w:tbl>
      <w:tblPr>
        <w:tblW w:w="6730" w:type="dxa"/>
        <w:jc w:val="left"/>
        <w:tblInd w:w="0" w:type="dxa"/>
        <w:tblLayout w:type="fixed"/>
        <w:tblCellMar>
          <w:top w:w="28" w:type="dxa"/>
          <w:left w:w="28" w:type="dxa"/>
          <w:bottom w:w="28" w:type="dxa"/>
          <w:right w:w="28" w:type="dxa"/>
        </w:tblCellMar>
      </w:tblPr>
      <w:tblGrid>
        <w:gridCol w:w="2821"/>
        <w:gridCol w:w="146"/>
        <w:gridCol w:w="449"/>
        <w:gridCol w:w="1216"/>
        <w:gridCol w:w="166"/>
        <w:gridCol w:w="146"/>
        <w:gridCol w:w="394"/>
        <w:gridCol w:w="118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Financing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June 2025 Warrants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During the year ended December 31, 2025, in connection with the June 2025 Private Placement (as defined below), the Company issued common and pre-funded warrants (the "June 2025 Warrants") which are classified as liabilities based on an assessment of the warrant’s specific terms and applicable authoritative guidance in ASC 815. See Note 11 for further details. The Company estimated the fair value of the common and pre-funded warrants utilizing the Black-Scholes option pricing model, which was dependent upon several Level 3 inputs that are not observable in active markets, such as expected term, volatility, risk-free interest rate, and expected dividends. Each of these inputs is subjective and generally requires judgment to determine. In January 2026, all 10,000 shares of the pre-funded warrants were exercised through a cashless exercise into 9,989 shares of the Company's common stock. In May 2026, the common warrants were terminated as a result of the Orphai Acquisition.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key inputs used in the valuation of the liability classified June 2025 Warrants as of the period presented: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2926"/>
        <w:gridCol w:w="146"/>
        <w:gridCol w:w="456"/>
        <w:gridCol w:w="1464"/>
        <w:gridCol w:w="3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 years</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market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exercise price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changes in the fair value of the Level 3 liability classified June 2025 Warrants for the six months ended June 30, 2026:</w:t>
      </w:r>
    </w:p>
    <w:p>
      <w:pPr>
        <w:pStyle w:val="TextBody"/>
        <w:bidi w:val="0"/>
        <w:jc w:val="left"/>
        <w:rPr/>
      </w:pPr>
      <w:r>
        <w:rPr/>
        <w:t> </w:t>
      </w:r>
    </w:p>
    <w:tbl>
      <w:tblPr>
        <w:tblW w:w="6553" w:type="dxa"/>
        <w:jc w:val="left"/>
        <w:tblInd w:w="0" w:type="dxa"/>
        <w:tblLayout w:type="fixed"/>
        <w:tblCellMar>
          <w:top w:w="28" w:type="dxa"/>
          <w:left w:w="28" w:type="dxa"/>
          <w:bottom w:w="28" w:type="dxa"/>
          <w:right w:w="28" w:type="dxa"/>
        </w:tblCellMar>
      </w:tblPr>
      <w:tblGrid>
        <w:gridCol w:w="5071"/>
        <w:gridCol w:w="146"/>
        <w:gridCol w:w="250"/>
        <w:gridCol w:w="875"/>
        <w:gridCol w:w="21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 and reclassification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Payout of common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10" w:name="section15"/>
      <w:bookmarkEnd w:id="10"/>
      <w:r>
        <w:rPr>
          <w:rFonts w:ascii="Times New Roman" w:hAnsi="Times New Roman"/>
          <w:b/>
          <w:color w:val="000000"/>
          <w:sz w:val="20"/>
        </w:rPr>
        <w:t>Note 5. Cash, Cash Equivalents and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categorize the fair values of cash, cash equivalents and investments measured at fair value on a recurring basis on the condensed consolidated balance sheets (in thousands):</w:t>
      </w:r>
    </w:p>
    <w:p>
      <w:pPr>
        <w:pStyle w:val="TextBody"/>
        <w:bidi w:val="0"/>
        <w:jc w:val="left"/>
        <w:rPr/>
      </w:pPr>
      <w:r>
        <w:rPr/>
        <w:t> </w:t>
      </w:r>
    </w:p>
    <w:tbl>
      <w:tblPr>
        <w:tblW w:w="5955" w:type="dxa"/>
        <w:jc w:val="left"/>
        <w:tblInd w:w="0" w:type="dxa"/>
        <w:tblLayout w:type="fixed"/>
        <w:tblCellMar>
          <w:top w:w="28" w:type="dxa"/>
          <w:left w:w="28" w:type="dxa"/>
          <w:bottom w:w="28" w:type="dxa"/>
          <w:right w:w="28" w:type="dxa"/>
        </w:tblCellMar>
      </w:tblPr>
      <w:tblGrid>
        <w:gridCol w:w="2701"/>
        <w:gridCol w:w="146"/>
        <w:gridCol w:w="239"/>
        <w:gridCol w:w="886"/>
        <w:gridCol w:w="146"/>
        <w:gridCol w:w="146"/>
        <w:gridCol w:w="357"/>
        <w:gridCol w:w="1143"/>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and agency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investments are classified as available-for-sale securities. As of June 30, 2026, there were no available-for-sale securities outstanding. There were no significant realized gains or losses recognized on the sale or maturity of available-for-sale securities for the three and six months ended June 30, 2026 and 2025, and as a result, the Company did not reclassify any significant amounts out of accumulated other comprehensive loss. No other-than-temporary impairments on these securities were recognized for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periodically assesses its investment in available-for-sale securities for impairment losses and credit losses. The amount of credit losses is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There have been no impairments or credit losses related to available-for-sale securities for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interest and other income, net in the statement of operations and comprehensive loss. If neither criteria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related to the security, among other factors. Credit-related impairment losses, limited by the amount that the fair value is less than the amortized cost basis, are recorded through an allowance for credit losses in 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unrealized losses from declines in fair value below the amortized cost basis as a result of non-credit factors are recognized in accumulated other comprehensive income, net of tax as a separate component of stockholders’ equity, along with unrealized gains. Realized gains and losses and declines in fair value, if any, on available-for-sale securities are included in other income (expense), net in the condensed consolidated statement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in other current assets on the condensed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available-for-sale securities (in thousands):</w:t>
      </w:r>
    </w:p>
    <w:p>
      <w:pPr>
        <w:pStyle w:val="TextBody"/>
        <w:bidi w:val="0"/>
        <w:jc w:val="left"/>
        <w:rPr/>
      </w:pPr>
      <w:r>
        <w:rPr/>
        <w:t> </w:t>
      </w:r>
    </w:p>
    <w:tbl>
      <w:tblPr>
        <w:tblW w:w="9595" w:type="dxa"/>
        <w:jc w:val="left"/>
        <w:tblInd w:w="0" w:type="dxa"/>
        <w:tblLayout w:type="fixed"/>
        <w:tblCellMar>
          <w:top w:w="28" w:type="dxa"/>
          <w:left w:w="28" w:type="dxa"/>
          <w:bottom w:w="28" w:type="dxa"/>
          <w:right w:w="28" w:type="dxa"/>
        </w:tblCellMar>
      </w:tblPr>
      <w:tblGrid>
        <w:gridCol w:w="4426"/>
        <w:gridCol w:w="146"/>
        <w:gridCol w:w="211"/>
        <w:gridCol w:w="781"/>
        <w:gridCol w:w="146"/>
        <w:gridCol w:w="146"/>
        <w:gridCol w:w="262"/>
        <w:gridCol w:w="624"/>
        <w:gridCol w:w="146"/>
        <w:gridCol w:w="146"/>
        <w:gridCol w:w="335"/>
        <w:gridCol w:w="551"/>
        <w:gridCol w:w="146"/>
        <w:gridCol w:w="146"/>
        <w:gridCol w:w="211"/>
        <w:gridCol w:w="781"/>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(original maturities within 90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114,449</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03" w:type="dxa"/>
        <w:jc w:val="left"/>
        <w:tblInd w:w="0" w:type="dxa"/>
        <w:tblLayout w:type="fixed"/>
        <w:tblCellMar>
          <w:top w:w="28" w:type="dxa"/>
          <w:left w:w="28" w:type="dxa"/>
          <w:bottom w:w="28" w:type="dxa"/>
          <w:right w:w="28" w:type="dxa"/>
        </w:tblCellMar>
      </w:tblPr>
      <w:tblGrid>
        <w:gridCol w:w="4426"/>
        <w:gridCol w:w="146"/>
        <w:gridCol w:w="212"/>
        <w:gridCol w:w="681"/>
        <w:gridCol w:w="147"/>
        <w:gridCol w:w="147"/>
        <w:gridCol w:w="335"/>
        <w:gridCol w:w="551"/>
        <w:gridCol w:w="147"/>
        <w:gridCol w:w="147"/>
        <w:gridCol w:w="335"/>
        <w:gridCol w:w="551"/>
        <w:gridCol w:w="147"/>
        <w:gridCol w:w="147"/>
        <w:gridCol w:w="212"/>
        <w:gridCol w:w="681"/>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and agency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16,340</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(original maturities within 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 (maturities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Balance Sheet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8169" w:type="dxa"/>
        <w:jc w:val="left"/>
        <w:tblInd w:w="0" w:type="dxa"/>
        <w:tblLayout w:type="fixed"/>
        <w:tblCellMar>
          <w:top w:w="28" w:type="dxa"/>
          <w:left w:w="28" w:type="dxa"/>
          <w:bottom w:w="28" w:type="dxa"/>
          <w:right w:w="28" w:type="dxa"/>
        </w:tblCellMar>
      </w:tblPr>
      <w:tblGrid>
        <w:gridCol w:w="4861"/>
        <w:gridCol w:w="303"/>
        <w:gridCol w:w="822"/>
        <w:gridCol w:w="146"/>
        <w:gridCol w:w="146"/>
        <w:gridCol w:w="403"/>
        <w:gridCol w:w="1097"/>
        <w:gridCol w:w="391"/>
      </w:tblGrid>
      <w:tr>
        <w:trPr/>
        <w:tc>
          <w:tcPr>
            <w:tcW w:w="48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Italian research and development tax credit, net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VAT receivable, net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Company was eligible to obtain an R&amp;D tax credit as companies in Italy that invest in eligible research and development activities, regardless of the legal form and economic sector in which they operate, can benefit from an R&amp;D tax credit. Such tax credits can only be used to offset payments of certain taxes and contributions (e.g., social contributions, VAT payables, registration fees, income and withholding taxes and other tax-related items that companies usually pay monthly). During the three and six months ended June 30, 2026, the Company recorded no increases to R&amp;D tax credit and $3.0 million increase to R&amp;D tax credit balance due to the release of Italy-related unrecognized tax benefits. During the three and six months ended June 30, 2026, the Company utilized $1.5 million and $2.1 million of R&amp;D tax credit towards related tax payable and payroll-related tax expenses. The Company recorded an adjustment to reduce the reserve for estimated credits that were not probable of being used of $0.4 million for a total of $0.7 million reserved based on forecasted utilization in Italy as of June 30, 2026.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and six months ended June 30, 2026, the Company recorded a $0.5 million reserve for estimated VAT receivable that are not probable of being recovered.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a total reduction to R&amp;D expense of $0.1 million and $1.2 million for the three and six months ended June 30, 2026, and reductions to R&amp;D expense of $0.6 million and $0.9 million for the three and six months ended June 30, 2025.</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balance in the reserve for Italian research and development tax credit and reserve for VAT receivable for the six months ended June 30, 2026 is as follows (in thousands):</w:t>
      </w:r>
    </w:p>
    <w:tbl>
      <w:tblPr>
        <w:tblW w:w="10205" w:type="dxa"/>
        <w:jc w:val="left"/>
        <w:tblInd w:w="0" w:type="dxa"/>
        <w:tblLayout w:type="fixed"/>
        <w:tblCellMar>
          <w:top w:w="28" w:type="dxa"/>
          <w:left w:w="28" w:type="dxa"/>
          <w:bottom w:w="28" w:type="dxa"/>
          <w:right w:w="28" w:type="dxa"/>
        </w:tblCellMar>
      </w:tblPr>
      <w:tblGrid>
        <w:gridCol w:w="3593"/>
        <w:gridCol w:w="1225"/>
        <w:gridCol w:w="2800"/>
        <w:gridCol w:w="166"/>
        <w:gridCol w:w="146"/>
        <w:gridCol w:w="627"/>
        <w:gridCol w:w="1434"/>
        <w:gridCol w:w="214"/>
      </w:tblGrid>
      <w:tr>
        <w:trPr/>
        <w:tc>
          <w:tcPr>
            <w:tcW w:w="35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Reserve for Italian research and development tax credit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Reserve for VAT receivable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December 31, 2025</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reserve</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June 30, 2026</w:t>
            </w:r>
          </w:p>
        </w:tc>
        <w:tc>
          <w:tcPr>
            <w:tcW w:w="1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assets consisted of the following (in thousands):</w:t>
      </w:r>
    </w:p>
    <w:p>
      <w:pPr>
        <w:pStyle w:val="TextBody"/>
        <w:bidi w:val="0"/>
        <w:jc w:val="left"/>
        <w:rPr/>
      </w:pPr>
      <w:r>
        <w:rPr/>
        <w:t> </w:t>
      </w:r>
    </w:p>
    <w:tbl>
      <w:tblPr>
        <w:tblW w:w="7944" w:type="dxa"/>
        <w:jc w:val="left"/>
        <w:tblInd w:w="0" w:type="dxa"/>
        <w:tblLayout w:type="fixed"/>
        <w:tblCellMar>
          <w:top w:w="28" w:type="dxa"/>
          <w:left w:w="28" w:type="dxa"/>
          <w:bottom w:w="28" w:type="dxa"/>
          <w:right w:w="28" w:type="dxa"/>
        </w:tblCellMar>
      </w:tblPr>
      <w:tblGrid>
        <w:gridCol w:w="4636"/>
        <w:gridCol w:w="426"/>
        <w:gridCol w:w="699"/>
        <w:gridCol w:w="146"/>
        <w:gridCol w:w="146"/>
        <w:gridCol w:w="403"/>
        <w:gridCol w:w="1097"/>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VAT receivable</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 in Lighthouse Pharmaceuticals, Inc.</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assets</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p>
      <w:pPr>
        <w:pStyle w:val="TextBody"/>
        <w:bidi w:val="0"/>
        <w:spacing w:before="40" w:after="283"/>
        <w:jc w:val="left"/>
        <w:rPr/>
      </w:pPr>
      <w:r>
        <w:rPr/>
        <w:t> </w:t>
      </w:r>
    </w:p>
    <w:tbl>
      <w:tblPr>
        <w:tblW w:w="7839" w:type="dxa"/>
        <w:jc w:val="left"/>
        <w:tblInd w:w="0" w:type="dxa"/>
        <w:tblLayout w:type="fixed"/>
        <w:tblCellMar>
          <w:top w:w="28" w:type="dxa"/>
          <w:left w:w="28" w:type="dxa"/>
          <w:bottom w:w="28" w:type="dxa"/>
          <w:right w:w="28" w:type="dxa"/>
        </w:tblCellMar>
      </w:tblPr>
      <w:tblGrid>
        <w:gridCol w:w="4111"/>
        <w:gridCol w:w="303"/>
        <w:gridCol w:w="822"/>
        <w:gridCol w:w="346"/>
        <w:gridCol w:w="346"/>
        <w:gridCol w:w="403"/>
        <w:gridCol w:w="1097"/>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and depreciation</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and other current liabilities consist of the following (in thousands):</w:t>
      </w:r>
    </w:p>
    <w:p>
      <w:pPr>
        <w:pStyle w:val="TextBody"/>
        <w:bidi w:val="0"/>
        <w:spacing w:before="40" w:after="283"/>
        <w:jc w:val="left"/>
        <w:rPr/>
      </w:pPr>
      <w:r>
        <w:rPr/>
        <w:t> </w:t>
      </w:r>
    </w:p>
    <w:tbl>
      <w:tblPr>
        <w:tblW w:w="7769" w:type="dxa"/>
        <w:jc w:val="left"/>
        <w:tblInd w:w="0" w:type="dxa"/>
        <w:tblLayout w:type="fixed"/>
        <w:tblCellMar>
          <w:top w:w="28" w:type="dxa"/>
          <w:left w:w="28" w:type="dxa"/>
          <w:bottom w:w="28" w:type="dxa"/>
          <w:right w:w="28" w:type="dxa"/>
        </w:tblCellMar>
      </w:tblPr>
      <w:tblGrid>
        <w:gridCol w:w="4461"/>
        <w:gridCol w:w="303"/>
        <w:gridCol w:w="822"/>
        <w:gridCol w:w="146"/>
        <w:gridCol w:w="146"/>
        <w:gridCol w:w="357"/>
        <w:gridCol w:w="1143"/>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Company entered into settlement agreements with vendors pursuant to which they relinquished amounts owed by the Company. This resulted in a $3.7 million gain on settlement of accounts payable for the six months ended June 30, 2026, which is reflected in the condensed consolidated statements of operations and comprehensive loss within research and development.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 and 2025, the severance accrual activity was as follows (in thousands):</w:t>
      </w:r>
    </w:p>
    <w:p>
      <w:pPr>
        <w:pStyle w:val="TextBody"/>
        <w:bidi w:val="0"/>
        <w:jc w:val="left"/>
        <w:rPr/>
      </w:pPr>
      <w:r>
        <w:rPr/>
        <w:t> </w:t>
      </w:r>
    </w:p>
    <w:tbl>
      <w:tblPr>
        <w:tblW w:w="5670" w:type="dxa"/>
        <w:jc w:val="left"/>
        <w:tblInd w:w="0" w:type="dxa"/>
        <w:tblLayout w:type="fixed"/>
        <w:tblCellMar>
          <w:top w:w="28" w:type="dxa"/>
          <w:left w:w="28" w:type="dxa"/>
          <w:bottom w:w="28" w:type="dxa"/>
          <w:right w:w="28" w:type="dxa"/>
        </w:tblCellMar>
      </w:tblPr>
      <w:tblGrid>
        <w:gridCol w:w="2806"/>
        <w:gridCol w:w="303"/>
        <w:gridCol w:w="907"/>
        <w:gridCol w:w="238"/>
        <w:gridCol w:w="210"/>
        <w:gridCol w:w="303"/>
        <w:gridCol w:w="692"/>
        <w:gridCol w:w="211"/>
      </w:tblGrid>
      <w:tr>
        <w:trPr/>
        <w:tc>
          <w:tcPr>
            <w:tcW w:w="28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accrued severance</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Incurred during the period</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paid during the period</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accrued severance</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and 2025, the Company incurred severance costs related to personnel separation, reflecting payments made and accrued to departing employees.</w:t>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Other Long-Term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long-term liabilities consist of the following (in thousands):</w:t>
      </w:r>
    </w:p>
    <w:p>
      <w:pPr>
        <w:pStyle w:val="TextBody"/>
        <w:bidi w:val="0"/>
        <w:jc w:val="left"/>
        <w:rPr/>
      </w:pPr>
      <w:r>
        <w:rPr/>
        <w:t> </w:t>
      </w:r>
    </w:p>
    <w:tbl>
      <w:tblPr>
        <w:tblW w:w="5949" w:type="dxa"/>
        <w:jc w:val="left"/>
        <w:tblInd w:w="0" w:type="dxa"/>
        <w:tblLayout w:type="fixed"/>
        <w:tblCellMar>
          <w:top w:w="28" w:type="dxa"/>
          <w:left w:w="28" w:type="dxa"/>
          <w:bottom w:w="28" w:type="dxa"/>
          <w:right w:w="28" w:type="dxa"/>
        </w:tblCellMar>
      </w:tblPr>
      <w:tblGrid>
        <w:gridCol w:w="2641"/>
        <w:gridCol w:w="375"/>
        <w:gridCol w:w="750"/>
        <w:gridCol w:w="146"/>
        <w:gridCol w:w="146"/>
        <w:gridCol w:w="403"/>
        <w:gridCol w:w="1097"/>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and state taxes payable</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taxes payable</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1" w:name="section17"/>
      <w:bookmarkEnd w:id="11"/>
      <w:r>
        <w:rPr>
          <w:rFonts w:ascii="Times New Roman" w:hAnsi="Times New Roman"/>
          <w:b/>
          <w:color w:val="000000"/>
          <w:sz w:val="20"/>
        </w:rPr>
        <w:t>Note 7.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the Medolla Lease Agreement for the office space was renegotiated. The new Medolla Lease Agreement includes an additional space and commenced on February 1, 2024, to end on January 31, 2030, substituting the Medolla Lease Agreement commenced in June 2018. In June 2026, the Medolla Lease was terminated, and the Company recognized an immaterial loss in connection with the termination.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lease expense on a straight-line basis over the term of its operating lease. During the three and six months ended June 30, 2026, the Company recorded lease expense of $43 thousand and $80 thousand, respectively. During the three and six months ended June 30, 2025, the Company recorded lease expense of $38 thousand and $76 thousand,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balance sheet information related to leases as follows (in thousands except lease terms and discount rates):</w:t>
      </w:r>
    </w:p>
    <w:p>
      <w:pPr>
        <w:pStyle w:val="TextBody"/>
        <w:bidi w:val="0"/>
        <w:jc w:val="left"/>
        <w:rPr/>
      </w:pPr>
      <w:r>
        <w:rPr/>
        <w:t> </w:t>
      </w:r>
    </w:p>
    <w:tbl>
      <w:tblPr>
        <w:tblW w:w="5278" w:type="dxa"/>
        <w:jc w:val="left"/>
        <w:tblInd w:w="0" w:type="dxa"/>
        <w:tblLayout w:type="fixed"/>
        <w:tblCellMar>
          <w:top w:w="28" w:type="dxa"/>
          <w:left w:w="28" w:type="dxa"/>
          <w:bottom w:w="28" w:type="dxa"/>
          <w:right w:w="28" w:type="dxa"/>
        </w:tblCellMar>
      </w:tblPr>
      <w:tblGrid>
        <w:gridCol w:w="3316"/>
        <w:gridCol w:w="146"/>
        <w:gridCol w:w="467"/>
        <w:gridCol w:w="1033"/>
        <w:gridCol w:w="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no future minimum lease payments under lease agreements as of June 30,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acquisition of EryDel on October 20, 2023, the Company became a guarantor in respect of the EIB Loan. The EIB Loan was amended and restated as of the acquisition date. The EIB Loan provided for maximum borrowings of 30.0 million euro through four tranches; tranche A, 3.0 million euro; tranche B, 7.0 million euro; tranche C, 10.0 million euro; and tranche D, 10.0 million euro. Each tranche was subject to conditions precedent related to the Company’s business and capitalization. Only tranches A and B were drawn. All amounts due under tranche A and B were payable on their maturity date of August 2026. Interest accrued at fixed rates for each tranche and was payable on the maturity date for each Tranche (with the exception of 2% cash interest which was accrued and payable quarterly during fiscal year 2025 pursuant to the terms of the Amendment, which correspondingly reduced the deferred interest rate accruing during such period). The fixed rates ranged from 7.0% to 9.0% per annum.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elected to account for the EIB Loan at fair value, which required the EIB Loan to be recorded at fair value at issuance and at the end of each reporting period. Gains or losses upon remeasurement were recorded in other income (expense), net in the condensed consolidated statements of operations and comprehensive loss. The Company presented separately in other comprehensive loss the portion of the total change in the fair value of the EIB Loan that results from a change in instrument-specific credit risk. The EIB Loan’s fair value at the date it was assumed adjusted its carrying value based on using a discounted cash flow analysis with a discount rate based on a yield curve that was adjusted for credit rating.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the EIB agreed to a full settlement of all obligations associated with the loan with a single payment of 4.8 million euros ($5.5 million) which was paid on March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the Company paid 25 thousand euros ($29 thousand) in interest payments.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Series C Preferred Stock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Series C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18, 2026, the Company filed the Certificate of Designation with the Secretary of State of the State of Delaware in connection with the Orphai Acquisition. The Certificate of Designation provides for the authorization of 294,370 shares of Series C Preferred Stock, of which 67,101.235 shares were issued as merger consideration in connection with the Orphai Acquisition, and 144,200.633 shares were issued in the concurrent May 2026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Series C Preferred Stock are entitled to receive dividends on shares of Series C Preferred Stock (on an as-converted basis) equal to and in the same form as dividends paid on shares of the Company's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otherwise provided in the Certificate of Designation or as otherwise required by the Delaware General Corporation Law of the State of Delaware, the Series C Preferred Stock has no voting rights and no rights to elect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any liquidation, dissolution, or winding-up of the Company, whether voluntary or involuntary, each holder of Series C Preferred Stock is entitled to receive out of the assets of the Company the same amount that a holder of common stock would receive if the Series C Preferred Stock were converted to common stock, paid pari passu with the holders of common stock. If the assets of the Company are insufficient to pay the holders of Series C Preferred Stock in full, all remaining assets of the Company are distributed ratably to the holders of Series C Preferred Stock and the holders of common stock in accordance with their respective amounts.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Series C Preferred Stock is not redeemable. However, if, at any time after the earlier of (i) stockholder approval of the Company Stockholder Matters or (ii) six months after the initial issuance of the Series C Preferred Stock, the Company fails to deliver conversion shares to a holder as required, the Company is required, at the request of the holder, to pay cash equal to the fair value of such undelivered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upon Stockholder Approval, each share of Series C Preferred Stock will automatically convert into 52.00 shares of Common Stock, as adjusted for the June 2026 Reverse Stock Split. Prior to that, each share of Series C Preferred Stock is convertible into 52.00 shares of Common Stock at the option of the holder, as adjusted for the June 2026 Reverse Stock Split, at any time following the earlier of (i) Stockholder Approval or (ii) six months after the initial issuance of the Series C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cash settlement feature described above and the fundamental transaction provisions of the Series C Preferred Stock, the Series C Preferred Stock was classified as mezzanine equity on the condensed consolidated balance sheets.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Stockholders’ Equity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4, 2025, the Company’s shareholders approved an amendment to the Company’s certificate of incorporation to increase the total number of authorized shares of Common Stock from 100,000,000 to 250,000,000. The Reverse Stock Splits did not affect the number of authorized shares of common stock or the par value of the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240" w:after="283"/>
        <w:jc w:val="left"/>
        <w:rPr>
          <w:rFonts w:ascii="Times New Roman" w:hAnsi="Times New Roman"/>
          <w:sz w:val="20"/>
        </w:rPr>
      </w:pPr>
      <w:r>
        <w:rPr>
          <w:rFonts w:ascii="Times New Roman" w:hAnsi="Times New Roman"/>
          <w:color w:val="000000"/>
          <w:sz w:val="20"/>
        </w:rPr>
        <w:t>On December 18, 2024, the Company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with Cantor Fitzgerald &amp; Co. and H.C. Wainwright &amp; Co., LLC (the "Agents"), relating to the sale of shares of the Company's common stock. In accordance with the terms of this agreement, the Company may offer and sell up to $75.0 million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Company utilized its ATM program to raise net proceeds of approximately $20.3 million by issuing 526,435 shares of common stock. As of June 30, 2026, $47.5 million remained available to be utilized under the ATM program.</w:t>
      </w:r>
    </w:p>
    <w:p>
      <w:pPr>
        <w:pStyle w:val="TextBody"/>
        <w:bidi w:val="0"/>
        <w:spacing w:before="240" w:after="283"/>
        <w:jc w:val="left"/>
        <w:rPr>
          <w:rFonts w:ascii="Times New Roman" w:hAnsi="Times New Roman"/>
          <w:sz w:val="20"/>
        </w:rPr>
      </w:pPr>
      <w:r>
        <w:rPr>
          <w:rFonts w:ascii="Times New Roman" w:hAnsi="Times New Roman"/>
          <w:b/>
          <w:i/>
          <w:color w:val="000000"/>
          <w:sz w:val="20"/>
        </w:rPr>
        <w:t>May 2026 Private Placement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18, 2026, concurrent with the Orphai Acquisition, the Company entered into the May 2026 Securities Purchase Agreement for a private placement financing with new and returning investors to raise up to $187.0 million in gross proceeds, which includes $115.0 million in gross upfront proceeds, net of $11.4 million of offering costs, commissions, legal and other expenses for net proceeds from the offering of $103.6 million, and up to an additional approximately $72.0 million upon exercise of the Financing Warrants, in which the investors were issued approximately 144,200.633 shares of Series C Preferred Stock (convertible into an aggregate of 7,498,447 shares of common stock, without giving effect to any beneficial ownership limitations) at a price of $797.50 per share and Financing Warrants to purchase up to 72,100.322 shares of Series C Preferred Stock (or 3,749,231 shares, on an as-converted-to-common basis and without giving effect to any beneficial ownership limitations) at an exercise price of $996.90 per share (or $19.17 per share on an as-converted-to-common basis, as adjusted for the June 2026 Reverse Stock Split). For additional information, see Note 3, 9, and 11 to these unaudited condensed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June 2025 Private Placement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June 12, 2025, the Company entered into a Securities Purchase Agreement (the “June 2025 Securities Purchase Agreement”), with certain institutional investors (the “Investors”) and certain members of the Company’s management (together with the Investors, the “June 2025 Purchasers”) pursuant to which the Company issued and sold to the June 2025 Purchasers in a private placement (“June 2025 Private Placement”): (i) 33,360 shares (the “Shares”) of its common stock, (ii) pre-funded warrants (the “Pre-Funded Warrants”) to purchase up to an aggregate of 10,000 shares of common stock, and (iii) accompanying warrants to purchase up to an aggregate of 43,360 shares of common stock (the “Common Warrants”), for aggregate gross proceeds of approximately $11.5 million (excluding up to approximately $10.4 million of aggregate gross proceeds that may be received in the future upon the cash exercise in full of the Common Warrants issued in the June 2025 Private Placement), before deducting placement agent fees and other expenses payable by the Company. In May 2026, all of the Common Warrants issued in connection with the June 2025 Private Placement were terminated in connection with the consummation of the Orphai Acquisition.</w:t>
      </w:r>
    </w:p>
    <w:p>
      <w:pPr>
        <w:pStyle w:val="TextBody"/>
        <w:bidi w:val="0"/>
        <w:jc w:val="left"/>
        <w:rPr>
          <w:rFonts w:ascii="Times New Roman" w:hAnsi="Times New Roman"/>
          <w:b/>
          <w:color w:val="000000"/>
          <w:sz w:val="20"/>
        </w:rPr>
      </w:pPr>
      <w:r>
        <w:rPr>
          <w:rFonts w:ascii="Times New Roman" w:hAnsi="Times New Roman"/>
          <w:b/>
          <w:color w:val="000000"/>
          <w:sz w:val="20"/>
        </w:rPr>
        <w:t>Note 11. Warrants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 and Financing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18, 2026, under the Merger Agreement, the Company issued Acquisition Warrants to holders of Orphai warrants to purchase up to an aggregate of 10,964.505 shares of Series C Preferred Stock (or 570,169 shares on an as-converted-to-common basis, without giving effect to any beneficial ownership limitations), at an exercise price of $996.90 per share of Series C Preferred Stock (or $19.17 per share on an as-converted-to-common basis, as adjusted for the June 2026 Reverse Stock Split). In addition, on May 18, 2026, concurrent with the Orphai Acquisition, in connection with the May 2026 Financing, the Company issued Financing Warrants to investors in the May 2026 Financing to purchase up to an aggregate of 72,100.322 shares of Series C Preferred Stock (or 3,749,231 shares on an as-converted-to-common basis, without giving effect to any beneficial ownership limitations), at an exercise price of $996.90 per share of Series C Preferred Stock (or $19.17 per share on an as-converted-to-common basis, as adjusted for the June 2026 Reverse Stock Split).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aggregate, the Company issued warrants to purchase up to 83,064.827 shares of Series C Preferred Stock (or 4,319,400 shares on an as-converted-to-common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and Financing Warrants do not become exercisable until the trading day following the earlier of the Company's public announcement of (a) top line data from the LAM-001 Trial or (b) the termination or suspension of the LAM-001 Trial, and remain exercisable only through the 30th day following such announcement. Prior to the Company's receipt of stockholder approval for the conversion of the Series C Preferred Stock issued in the Orphai Acquisition in accordance with Nasdaq Listing Rules, the Acquisition and Financing Warrants are exercisable only into shares of Series C Preferred Stock, which is itself subject to certain beneficial ownership limitations established by each holder. As a result of these provisions, the warrants fail the indexation guidance under ASC 815 and are classified as liabilities. The Acquisition and Financing Warrant liability was recorded at fair value as of the issuance date and is subject to remeasurement to estimated fair value at each balance sheet date until the warrants are exercised or expire, with changes in fair value recognized in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proceeds from the May 2026 Financing were first allocated to the full fair value of the Financing Warrants due to the liability classification. The fair value of the Financing Warrants at issuance was $11.5 million. The remaining proceeds of $103.5 million, before issuance costs, were allocated to the Series C Preferred Stock.</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June 30, 2026, none of the Acquisition and Financing Warrants had been exercised, and 83,064.827 shares underlying the Acquisition and Financing Warrants remained outstanding. The following table is a summary of the Company's Acquisition and Financing Warrants outstanding as of June 30, 2026:</w:t>
      </w:r>
    </w:p>
    <w:tbl>
      <w:tblPr>
        <w:tblW w:w="5235" w:type="dxa"/>
        <w:jc w:val="left"/>
        <w:tblInd w:w="0" w:type="dxa"/>
        <w:tblLayout w:type="fixed"/>
        <w:tblCellMar>
          <w:top w:w="28" w:type="dxa"/>
          <w:left w:w="28" w:type="dxa"/>
          <w:bottom w:w="28" w:type="dxa"/>
          <w:right w:w="28" w:type="dxa"/>
        </w:tblCellMar>
      </w:tblPr>
      <w:tblGrid>
        <w:gridCol w:w="1846"/>
        <w:gridCol w:w="146"/>
        <w:gridCol w:w="254"/>
        <w:gridCol w:w="1621"/>
        <w:gridCol w:w="146"/>
        <w:gridCol w:w="146"/>
        <w:gridCol w:w="238"/>
        <w:gridCol w:w="647"/>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Common </w:t>
              <w:br/>
              <w:t>Stock Issuable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Exercise </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and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12, 2025, in connection with the sale and issuance of common stock as part of the June 2025 Private Placement, the Company issued Pre-Funded Warrants to purchase up to an aggregate of 10,000 shares of common stock at an exercise price of $0.20 per share and Common Warrants to purchase up to an aggregate of 43,360 shares of common stock at an exercise price of $240.00 per share. Each Share and each Pre-Funded Warrant sold pursuant to the June 2025 Securities Purchase Agreement was accompanied by one Common Warrant. The combined purchase price of each Share and accompanying Common Warrant was $265.00 (which included $25.00 per Common Warrant in accordance with the rules and regulations of Nasdaq). The combined purchase price of each Pre-Funded Warrant and accompanying Common Warrant was $264.80 (equal to the combined purchase price per Share and accompanying Common Warrant, minus $0.20).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Common Warrants can be exercised into either common stock or Pre-Funded Warrants at the holders' option, and both Common Warrants and Pre-Funded Warrants contain purchase rights that could result in holders receiving securities that more than offsets or neutralizes the effect of a distribution event. As a result of the aforementioned provisions, both Common Warrants and Pre-Funded Warrants fail the indexation guidance under ASC 815 and are classified as liabilities. The Pre-Funded Warrants and Common Warrants liabilities were recorded at fair value as of the issuance date and June 30, 2026, and subject to adjustment to estimated fair value at each balance sheet date until the warrants are settled.</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proceeds from June 2025 Private Placement were first allocated to the full fair value of the Pre-Funded Warrants and Common Warrants due to the liability classification. The fair value of the Pre-Funded Warrants and Common Warrants at issuance was $10.7 million. The remaining proceeds of $0.8 million, before issuance costs, were allocated to the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recognized a fair value gain of $4.5 million and $35.6 million, respectively, related to the total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January 29, 2026, all 10,000 shares of the Pre-Funded Warrants were exercised through a cashless exercise into 9,989 shares of the Company's common stock. In May 2026, all of the Common Warrants issued in connection with the June 2025 Private Placement were terminated in connection with the consummation of the Orphai Acquisition.</w:t>
      </w:r>
    </w:p>
    <w:p>
      <w:pPr>
        <w:pStyle w:val="TextBody"/>
        <w:bidi w:val="0"/>
        <w:jc w:val="left"/>
        <w:rPr>
          <w:rFonts w:ascii="Times New Roman" w:hAnsi="Times New Roman"/>
          <w:b/>
          <w:color w:val="000000"/>
          <w:sz w:val="20"/>
        </w:rPr>
      </w:pPr>
      <w:r>
        <w:rPr>
          <w:rFonts w:ascii="Times New Roman" w:hAnsi="Times New Roman"/>
          <w:b/>
          <w:color w:val="000000"/>
          <w:sz w:val="20"/>
        </w:rPr>
        <w:t>Note 12.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three stock-based compensation plans as of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2019 Equity Incentive Plan (Quince)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2019 Equity Incentive Plan (Novosteo)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2022 Inducement Plan (Quince)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2013 Orphai Plan (Orphai)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2026 Orphai Plan (Orphai)</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2019 Equity Incentive Plan (Quince)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4, 2014, the Company’s stockholders approved the 2014 Stock Plan (“2014 Plan”), and on April 25, 2019 amended, restated and re-named the 2014 Plan as the 2019 Equity Incentive Plan (the “Quince 2019 Plan”), which became effective as of May 7, 2019, the day prior to the effectiveness of the registration statement filed in connection with the IPO. The remaining shares available for issuance under the 2014 Plan were added to the shares reserved for issuance under the Quince 2019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Quince 2019 Plan provides for the grant of stock options (including incentive stock options and non-qualified stock options), stock appreciation rights, restricted stock, RSUs, performance units, and performance shares to the Company’s employees, directors, and consultants. As of June 30, 2026, the maximum aggregate number of shares that may be issued under the Quince 2019 Plan is 78,309 shares of the Company’s common stock. In addition, the number of shares available for issuance under the Quince 2019 Plan will be annually increased on the first day of each fiscal years beginning with fiscal 2020, by an amount equal to the least of (i) 10,732 shares of common stock; (ii) 4% of the outstanding shares of its common stock as of the last day of its immediately preceding fiscal year; and (iii) such other amount as the Board of Directors may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Quince 2019 Plan may be amended, suspended or terminated by the Board of Directors at any time, provided such action does not impair the existing rights of any participant, subject to stockholder approval of any amendment to the Quince 2019 Plan as required by applicable law or listing requirements. Unless sooner terminated by the Company's Board of Directors, the Quince 2019 Plan will automatically terminate on April 23, 2029.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10,510 shares available for future issuance under the Quince 2019 Plan.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options under the Quince 2019 Plan may be granted for periods of up to 10 years and at prices no less than 100% of the fair market value of the shares on the date of grant. If, at the time of grant, the optionee directly owns stocks representing more than 10% of the voting power of all our outstanding capital stock, the exercise price for these options must be at least 110% of the fair value of the underlying common stock. Stock options granted to employees and non-employees generally have a maximum term of ten years and vest over four years from the vesting commencement date, of which 25% vest on the one-year anniversary of the vesting commencement date, and 75% vest in equal monthly installments over the remaining three years or monthly vesting over 3 to 4 years. We may grant options with different vesting terms from time to time. Unless an employee's or non-employee's termination is due to cause, disability or death, upon termination of service, any unexercised vested options will be forfeited at the end of the three months from the termination date or expiration of the option, whichever is earlier.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for service-based stock options under the Quince 2019 Plan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14"/>
        <w:gridCol w:w="146"/>
        <w:gridCol w:w="174"/>
        <w:gridCol w:w="804"/>
        <w:gridCol w:w="166"/>
        <w:gridCol w:w="146"/>
        <w:gridCol w:w="263"/>
        <w:gridCol w:w="846"/>
        <w:gridCol w:w="146"/>
        <w:gridCol w:w="146"/>
        <w:gridCol w:w="225"/>
        <w:gridCol w:w="721"/>
        <w:gridCol w:w="146"/>
        <w:gridCol w:w="146"/>
        <w:gridCol w:w="267"/>
        <w:gridCol w:w="856"/>
        <w:gridCol w:w="393"/>
      </w:tblGrid>
      <w:tr>
        <w:trPr/>
        <w:tc>
          <w:tcPr>
            <w:tcW w:w="4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 and</w:t>
              <w:br/>
              <w:t>Unvested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51,454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18,844</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57,030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vested and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the Company recognized stock-based compensation expense of $0.7 million and $1.6 million, respectively, related to options granted to employees and non-employees. For the three and six months ended June 30, 2025, the Company recognized stock-based compensation expense of $0.8 million and $1.7 million, respectively, related to options granted to employees and non-employees. The compensation expense is allocated on a departmental basis, based on the classification of the option holder. No income tax benefits have been recognized in the condensed consolidated statements of operations and comprehensive loss for stock-based compensation arrangements. As of June 30, 2026, total unamortized employee stock-based compensation was $7.2 million, which is expected to be recognized over the remaining estimated vesting period of 1.2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 date fair value per share of stock options granted during the six months ended June 30, 2026 and 2025 was $507.87 and $419.35,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in connection with the separation of employees as part of our restructuring activities, the Company extended the post-termination exercise window from 90 days to five years for separated employees and for those with consulting agreements allowed awards to continue vesting through term of the agreements. The Company recorded stock-based compensation expense related to the modification of these awards of $0.1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2019 Equity Incentive Plan (Novosteo)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19, 2022, in accordance with the terms of Agreement and Plan of Merger and Reorganization between the Company, Novosteo, Inc., and the other parties thereto, the Company assumed the 2019 Novosteo, Inc. Equity Incentive Plan (the "2019 Novosteo Plan"). The 2019 Novosteo Plan provides for the grant of stock options (including incentive stock options and non-qualified stock options), stock appreciation rights, restricted stock, RSUs, performance units, and performance shares to the Novosteo legacy employees. On the closing date, each outstanding Novosteo stock option granted under Novosteo’s equity compensation plans was converted into a corresponding stock option with the number of shares underlying such option and the applicable exercise price adjusted based on the exchange ratio of 0.0911. Each such converted stock option continues to be subject to substantially the same terms and conditions as applied to the corresponding Novosteo stock option prior to the acquisition. The maximum aggregate number of shares that may be issued under the 2019 Novosteo Plan is 2,725 shares of the Company’s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2019 Novosteo Plan may be amended, suspended or terminated by the Board of Directors at any time, provided such action does not impair the existing rights of any participant, subject to stockholder approval of any amendment to the 2019 Novosteo Plan as required by applicable law or listing requirements. Unless sooner terminated by the Board of Directors, the 2019 Novosteo Plan will automatically terminate on May 20, 2029.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options under the 2019 Novosteo Plan may be granted for periods of up to 10 years and at prices no less than 100% of the fair market value of the shares on the date of grant. If, at the time of grant, the optionee directly owns stocks representing more than 10% of the voting power of all our outstanding capital stock, the exercise price for these options must be at least 110% of the fair value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underlying common stock. Stock options granted to employees and non-employees generally have a maximum term of ten years and vest over four years from the vesting commencement date, of which 25% vest on the one-year anniversary of the vesting commencement date, and 75% vest in equal monthly installments over the remaining three years or monthly vesting over 3 to 4 years. We may grant options with different vesting terms from time to time. Unless an employee's or non-employee's termination is due to cause, disability or death, upon termination of service, any unexercised vested options will be forfeited at the end of the three months from the termination date or expiration of the option, whichever is earlier.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960 shares available for future issuance under the 2019 Novosteo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for service-based stock options under the 2019 Novosteo Plan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31"/>
        <w:gridCol w:w="146"/>
        <w:gridCol w:w="253"/>
        <w:gridCol w:w="735"/>
        <w:gridCol w:w="146"/>
        <w:gridCol w:w="146"/>
        <w:gridCol w:w="211"/>
        <w:gridCol w:w="676"/>
        <w:gridCol w:w="146"/>
        <w:gridCol w:w="146"/>
        <w:gridCol w:w="225"/>
        <w:gridCol w:w="721"/>
        <w:gridCol w:w="146"/>
        <w:gridCol w:w="146"/>
        <w:gridCol w:w="378"/>
        <w:gridCol w:w="760"/>
        <w:gridCol w:w="393"/>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 and</w:t>
              <w:br/>
              <w:t>Unvested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vested and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the Company recognized stock-based compensation expense of $0 and $44 thousand, respectively, related to options granted to employees and non-employees for the 2019 Novosteo Plan. For the three and six months ended June 30, 2025, the Company recognized stock-based compensation expense of $48 thousand and $97 thousand, respectively, related to options granted to employees and non-employees for the 2019 Novosteo Plan. The compensation expense is allocated on a departmental basis, based on the classification of the option holder. No income tax benefits have been recognized in the condensed consolidated statements of operations and comprehensive loss for stock-based compensation arrangements. As of June 30, 2026, there was no total unamortized employee stock-based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was no restricted stock awards activity during the six months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the Company recognized no stock-based compensation expense related to restricted stock awards. For the three and six months ended June 30, 2025, the Company recognized stock-based compensation expense of $0.1 million and $0.2 million related to restricted stock awards. The compensation expense is allocated on a departmental basis, based on the classification of the award holder. No income tax benefits have been recognized in the condensed consolidated statement of operations and comprehensive loss for stock-based compensation arrangements. The fair value of vested restricted stock awards was $0.1 million and $0.2 million for the three and six months ended June 30,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2022 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9, 2022, the Company's Board of Directors approved 20,000 shares of common stock, that may be offered or issued under the Quince Therapeutics, Inc. 2022 Inducement Plan (the "2022 Inducement Plan"). The 2022 Inducement Plan was adopted by the independent members of the Board of Directors without stockholder approval pursuant to Rule 5635(c)(4) of the Nasdaq Listing Rules (“Nasdaq Rule 5635(c)(4)”). In accordance with Nasdaq Rule 5635(c)(4), awards under those plans may only be made to an employee who has not previously been an employee or member of the Board of Directors or of any board of directors of any parent or subsidiary of the Company, or following a bona fide period of non-employment by the Company or a parent or subsidiary, if he or she is granted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award in connection with his or her commencement of employment with the Company or a subsidiary and such grant is an inducement material to his or her entering into employment with the Company or such subsidiary. The terms and conditions of the 2022 Inducement Plan are substantially similar to those of the Quince 2019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Options under the 2022 Inducement Plan may be granted for periods of up to 10 years at prices no less than 100% of the fair market value of the shares on the date of grant. Options granted to employees may have different performance goals or other vesting provisions (including continued employment) in accordance with the applicable award agreement. Unless an employee's termination service is due to disability or death, upon termination of service, any unexercised vested options will be forfeited at the end of the three months from the date of termination or expiration of the option, whichever is earlier.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8,333 shares available for future issuance under the 2022 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for service-based stock options under the 2022 Inducement Plan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31"/>
        <w:gridCol w:w="146"/>
        <w:gridCol w:w="175"/>
        <w:gridCol w:w="813"/>
        <w:gridCol w:w="146"/>
        <w:gridCol w:w="146"/>
        <w:gridCol w:w="211"/>
        <w:gridCol w:w="676"/>
        <w:gridCol w:w="146"/>
        <w:gridCol w:w="146"/>
        <w:gridCol w:w="225"/>
        <w:gridCol w:w="721"/>
        <w:gridCol w:w="146"/>
        <w:gridCol w:w="146"/>
        <w:gridCol w:w="292"/>
        <w:gridCol w:w="845"/>
        <w:gridCol w:w="394"/>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 and</w:t>
              <w:br/>
              <w:t>Unvested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11,667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vested and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the Company recognized stock-based compensation expense of $0.2 million and $0.5 million, respectively, related to options granted to employees for the 2022 Inducement Plan. For the three and six months ended June 30, 2025, the Company recognized stock-based compensation expense of $0.3 million and $0.7 million, respectively, related to options granted to employees for the 2022 Inducement Plan. The compensation expense is allocated on a departmental basis, based on the classification of the option holder. No income tax benefits have been recognized in the condensed consolidated statements of operations and comprehensive loss for stock-based compensation arrangements. As of June 30, 2026, there was no total unamortized employee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Orphai Equity Incentive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Orphai Acquisition, the Company assumed all outstanding and unexercised stock options previously granted by Orphai under its 2013 Employee, Director, and Consultant Equity Incentive Plan (the "2013 Orphai Plan"), as amended, and its 2026 Stock Incentive Plan (the "2026 Orphai Plan") (collectively, the "Orphai Equity Incentive Plans"), whether or not vested as of the acquisition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Merger Agreement, each Orphai stock option was converted into an option to purchase shares of the Company's common stock, with (i) the number of shares subject to each option determined by multiplying the number of shares subject to the original Orphai option by an exchange ratio of 0.6935, rounded down to the nearest whole share, and (ii) the per-share exercise price determined by dividing the original per-share exercise price by the same exchange ratio. The vesting schedule and remaining contractual term of each replacement award were not modified in connection with the assumption, and no vesting was accelerated.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for service-based stock options under the 2013 Orphai Plan is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136" w:type="dxa"/>
        <w:jc w:val="left"/>
        <w:tblInd w:w="0" w:type="dxa"/>
        <w:tblLayout w:type="fixed"/>
        <w:tblCellMar>
          <w:top w:w="28" w:type="dxa"/>
          <w:left w:w="28" w:type="dxa"/>
          <w:bottom w:w="28" w:type="dxa"/>
          <w:right w:w="28" w:type="dxa"/>
        </w:tblCellMar>
      </w:tblPr>
      <w:tblGrid>
        <w:gridCol w:w="4851"/>
        <w:gridCol w:w="146"/>
        <w:gridCol w:w="156"/>
        <w:gridCol w:w="834"/>
        <w:gridCol w:w="146"/>
        <w:gridCol w:w="146"/>
        <w:gridCol w:w="214"/>
        <w:gridCol w:w="582"/>
        <w:gridCol w:w="146"/>
        <w:gridCol w:w="146"/>
        <w:gridCol w:w="225"/>
        <w:gridCol w:w="721"/>
        <w:gridCol w:w="146"/>
        <w:gridCol w:w="146"/>
        <w:gridCol w:w="231"/>
        <w:gridCol w:w="909"/>
        <w:gridCol w:w="39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 and</w:t>
              <w:br/>
              <w:t>Unvested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118,257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vested and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112,210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the Company recognized stock-based compensation expense of $0.5 million, related to options granted to employees and non-employees. The compensation expense is allocated on a departmental basis, based on the classification of the option holder. No income tax benefits have been recognized in the condensed consolidated statements of operations and comprehensive loss for stock-based compensation arrangements. As of June 30, 2026, total unamortized employee stock-based compensation was $0.1 million, which is expected to be recognized over the remaining estimated vesting period of 0.13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 date fair value per share of stock options assumed during the six months ended June 30, 2026 was $19.59.</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Activity for service-based stock options under the 2026 Orphai Plan is as follows:</w:t>
      </w:r>
    </w:p>
    <w:tbl>
      <w:tblPr>
        <w:tblW w:w="10205" w:type="dxa"/>
        <w:jc w:val="left"/>
        <w:tblInd w:w="0" w:type="dxa"/>
        <w:tblLayout w:type="fixed"/>
        <w:tblCellMar>
          <w:top w:w="28" w:type="dxa"/>
          <w:left w:w="28" w:type="dxa"/>
          <w:bottom w:w="28" w:type="dxa"/>
          <w:right w:w="28" w:type="dxa"/>
        </w:tblCellMar>
      </w:tblPr>
      <w:tblGrid>
        <w:gridCol w:w="4834"/>
        <w:gridCol w:w="146"/>
        <w:gridCol w:w="146"/>
        <w:gridCol w:w="931"/>
        <w:gridCol w:w="146"/>
        <w:gridCol w:w="146"/>
        <w:gridCol w:w="214"/>
        <w:gridCol w:w="582"/>
        <w:gridCol w:w="146"/>
        <w:gridCol w:w="146"/>
        <w:gridCol w:w="225"/>
        <w:gridCol w:w="721"/>
        <w:gridCol w:w="146"/>
        <w:gridCol w:w="146"/>
        <w:gridCol w:w="306"/>
        <w:gridCol w:w="832"/>
        <w:gridCol w:w="392"/>
      </w:tblGrid>
      <w:tr>
        <w:trPr/>
        <w:tc>
          <w:tcPr>
            <w:tcW w:w="4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 and</w:t>
              <w:br/>
              <w:t>Unvested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1,190,547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w:t>
            </w:r>
          </w:p>
        </w:tc>
        <w:tc>
          <w:tcPr>
            <w:tcW w:w="3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vested and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657,144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the Company recognized stock-based compensation expense of $10.7 million, related to options granted to employees and non-employees. The compensation expense is allocated on a departmental basis, based on the classification of the option holder. No income tax benefits have been recognized in the condensed consolidated statements of operations and comprehensive loss for stock-based compensation arrangements. As of June 30, 2026, total unamortized employee stock-based compensation was $10.5 million, which is expected to be recognized over the remaining estimated vesting period of 1.38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 date fair value per share of stock options assumed during the six months ended June 30, 2026 was $19.80.</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employee and non-employee stock-based compensation expense for the three and six months ended June 30, 2026 and 2025 and the allocation within the condensed consolidated statements of operations and comprehensive loss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829" w:type="dxa"/>
        <w:jc w:val="left"/>
        <w:tblInd w:w="0" w:type="dxa"/>
        <w:tblLayout w:type="fixed"/>
        <w:tblCellMar>
          <w:top w:w="28" w:type="dxa"/>
          <w:left w:w="28" w:type="dxa"/>
          <w:bottom w:w="28" w:type="dxa"/>
          <w:right w:w="28" w:type="dxa"/>
        </w:tblCellMar>
      </w:tblPr>
      <w:tblGrid>
        <w:gridCol w:w="3016"/>
        <w:gridCol w:w="243"/>
        <w:gridCol w:w="781"/>
        <w:gridCol w:w="168"/>
        <w:gridCol w:w="168"/>
        <w:gridCol w:w="243"/>
        <w:gridCol w:w="659"/>
        <w:gridCol w:w="146"/>
        <w:gridCol w:w="146"/>
        <w:gridCol w:w="222"/>
        <w:gridCol w:w="713"/>
        <w:gridCol w:w="154"/>
        <w:gridCol w:w="154"/>
        <w:gridCol w:w="222"/>
        <w:gridCol w:w="603"/>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13,379</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considering all available positive and negative evidence, including cumulative losses, the Company concluded that it remains more likely than not that its net deferred tax assets will not be realized. Accordingly, the Company maintains a full valuation allowance against its net deferred tax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an income tax expense of $0.1 million for the three months ended June 30, 2026 and income tax benefit of $5.3 million for the six months ended June 30, 2026, primarily related to the discrete reversal of uncertain tax position liabilities associated with certain intellectual property following changes in facts and circumstances in the six months ended June 30, 2026 that affected the valuation of the intellectual property. This benefit was partially offset by current-period Italian income tax expense. The primary differences between the Company’s effective tax rate and the U.S. federal statutory tax rate were the change in valuation allowance and the discrete reversal of uncertain tax position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$67 thousand and $0.1 million of tax expense for the three and six months ended June 30, 2025, respectively, primarily related to foreign withholding tax and interest on the uncertain tax position liability.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 Net Loss Per Share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Basic net loss per common share is determined by dividing the net loss by the weighted-average common shares outstanding during the period. The preferred shares do not have substantive preferential rights over common shares and are considered in-substance common shares and treated as a separate class of common stock for the purposes of computing earnings per share.</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Basic and diluted net loss per common share is determined by dividing the net loss by the weighted-average common shares outstanding during the period, as follows (net loss in thousands):</w:t>
      </w:r>
    </w:p>
    <w:tbl>
      <w:tblPr>
        <w:tblW w:w="10205" w:type="dxa"/>
        <w:jc w:val="left"/>
        <w:tblInd w:w="0" w:type="dxa"/>
        <w:tblLayout w:type="fixed"/>
        <w:tblCellMar>
          <w:top w:w="28" w:type="dxa"/>
          <w:left w:w="28" w:type="dxa"/>
          <w:bottom w:w="28" w:type="dxa"/>
          <w:right w:w="28" w:type="dxa"/>
        </w:tblCellMar>
      </w:tblPr>
      <w:tblGrid>
        <w:gridCol w:w="4464"/>
        <w:gridCol w:w="146"/>
        <w:gridCol w:w="211"/>
        <w:gridCol w:w="931"/>
        <w:gridCol w:w="166"/>
        <w:gridCol w:w="146"/>
        <w:gridCol w:w="211"/>
        <w:gridCol w:w="781"/>
        <w:gridCol w:w="166"/>
        <w:gridCol w:w="146"/>
        <w:gridCol w:w="211"/>
        <w:gridCol w:w="931"/>
        <w:gridCol w:w="166"/>
        <w:gridCol w:w="146"/>
        <w:gridCol w:w="211"/>
        <w:gridCol w:w="781"/>
        <w:gridCol w:w="39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and in-substance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40"/>
        <w:jc w:val="left"/>
        <w:rPr>
          <w:rFonts w:ascii="Times New Roman" w:hAnsi="Times New Roman"/>
          <w:color w:val="000000"/>
          <w:sz w:val="20"/>
        </w:rPr>
      </w:pPr>
      <w:r>
        <w:rPr>
          <w:rFonts w:ascii="Times New Roman" w:hAnsi="Times New Roman"/>
          <w:color w:val="000000"/>
          <w:sz w:val="20"/>
        </w:rPr>
        <w:t>The following outstanding potentially dilutive shares have been excluded from the calculation of diluted net loss per share for the periods presented because including them would have been antidilutive:</w:t>
      </w:r>
    </w:p>
    <w:tbl>
      <w:tblPr>
        <w:tblW w:w="5999" w:type="dxa"/>
        <w:jc w:val="left"/>
        <w:tblInd w:w="0" w:type="dxa"/>
        <w:tblLayout w:type="fixed"/>
        <w:tblCellMar>
          <w:top w:w="28" w:type="dxa"/>
          <w:left w:w="28" w:type="dxa"/>
          <w:bottom w:w="28" w:type="dxa"/>
          <w:right w:w="28" w:type="dxa"/>
        </w:tblCellMar>
      </w:tblPr>
      <w:tblGrid>
        <w:gridCol w:w="3166"/>
        <w:gridCol w:w="146"/>
        <w:gridCol w:w="146"/>
        <w:gridCol w:w="931"/>
        <w:gridCol w:w="146"/>
        <w:gridCol w:w="146"/>
        <w:gridCol w:w="146"/>
        <w:gridCol w:w="78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1,378,309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5,697,709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117,509</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15. Intangible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EryDel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details of the carrying amount of the Company's indefinite-lived intangible asset (in thousands):</w:t>
      </w:r>
    </w:p>
    <w:p>
      <w:pPr>
        <w:pStyle w:val="TextBody"/>
        <w:bidi w:val="0"/>
        <w:jc w:val="left"/>
        <w:rPr/>
      </w:pPr>
      <w:r>
        <w:rPr/>
        <w:t> </w:t>
      </w:r>
    </w:p>
    <w:tbl>
      <w:tblPr>
        <w:tblW w:w="4651" w:type="dxa"/>
        <w:jc w:val="left"/>
        <w:tblInd w:w="0" w:type="dxa"/>
        <w:tblLayout w:type="fixed"/>
        <w:tblCellMar>
          <w:top w:w="28" w:type="dxa"/>
          <w:left w:w="28" w:type="dxa"/>
          <w:bottom w:w="28" w:type="dxa"/>
          <w:right w:w="28" w:type="dxa"/>
        </w:tblCellMar>
      </w:tblPr>
      <w:tblGrid>
        <w:gridCol w:w="171"/>
        <w:gridCol w:w="2994"/>
        <w:gridCol w:w="284"/>
        <w:gridCol w:w="991"/>
        <w:gridCol w:w="211"/>
      </w:tblGrid>
      <w:tr>
        <w:trPr/>
        <w:tc>
          <w:tcPr>
            <w:tcW w:w="171"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details of the carrying amount of the Company's finite-lived intangible asset (in thousands, except useful life):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347"/>
        <w:gridCol w:w="799"/>
        <w:gridCol w:w="146"/>
        <w:gridCol w:w="211"/>
        <w:gridCol w:w="421"/>
        <w:gridCol w:w="146"/>
        <w:gridCol w:w="146"/>
        <w:gridCol w:w="384"/>
        <w:gridCol w:w="992"/>
        <w:gridCol w:w="166"/>
        <w:gridCol w:w="146"/>
        <w:gridCol w:w="304"/>
        <w:gridCol w:w="695"/>
        <w:gridCol w:w="166"/>
        <w:gridCol w:w="146"/>
        <w:gridCol w:w="211"/>
        <w:gridCol w:w="421"/>
        <w:gridCol w:w="146"/>
        <w:gridCol w:w="146"/>
        <w:gridCol w:w="384"/>
        <w:gridCol w:w="992"/>
        <w:gridCol w:w="166"/>
        <w:gridCol w:w="146"/>
        <w:gridCol w:w="332"/>
        <w:gridCol w:w="667"/>
        <w:gridCol w:w="218"/>
      </w:tblGrid>
      <w:tr>
        <w:trPr/>
        <w:tc>
          <w:tcPr>
            <w:tcW w:w="16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 life intangible assets:</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the Company ceased clinical development of eDSP as the primary and secondary endpoints did not achieve statistical significance in its Phase 3 NEAT clinical trial. As a result, several of the assumptions used in determining the initial fair value have changed including expected cash flows and thus triggered the need for an interim impairment assessment as required under ASC 350. As a result, the fair value was determined to be significantly below its carrying value and the Company recognized a total impairment charge of $67.8 million for indefinite and finite-lived intangible assets during the six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manages its business activities on a consolidated basis and operates as one operating and reportable segment for the purposes of assessing performance and making operating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segments are defined as components of an enterprise for which discrete financial information is available and is evaluated regularly by the CODM, in deciding how to allocate resources and assess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Chief Executive Officer, who is the CODM, reviews financial information on a consolidated basis for purposes of allocating and evaluating financial performance. The CODM evaluates the Company’s performance and resource allocation by analyzing consolidated net loss, as reported on the condensed consolidated statement of operations and comprehensive loss. This assessment involves comparing net loss across prior periods, the Company's forecast, and following the Orphai Acquisition, total expenditures related to LAM-001 product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measure of segment assets reviewed by the CODM is the consolidated total assets, as reported on the condensed consolidated balance sheets. The following table presents the measure of segment assets regularly provided to the CODM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455" w:type="dxa"/>
        <w:jc w:val="left"/>
        <w:tblInd w:w="0" w:type="dxa"/>
        <w:tblLayout w:type="fixed"/>
        <w:tblCellMar>
          <w:top w:w="28" w:type="dxa"/>
          <w:left w:w="28" w:type="dxa"/>
          <w:bottom w:w="28" w:type="dxa"/>
          <w:right w:w="28" w:type="dxa"/>
        </w:tblCellMar>
      </w:tblPr>
      <w:tblGrid>
        <w:gridCol w:w="4201"/>
        <w:gridCol w:w="146"/>
        <w:gridCol w:w="177"/>
        <w:gridCol w:w="948"/>
        <w:gridCol w:w="146"/>
        <w:gridCol w:w="146"/>
        <w:gridCol w:w="265"/>
        <w:gridCol w:w="1235"/>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short-term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financial information, including significant segment expenses, which are regularly provided to the CODM and included within condensed consolidated statements of operations and comprehensive loss (in thousands):</w:t>
      </w:r>
    </w:p>
    <w:p>
      <w:pPr>
        <w:pStyle w:val="TextBody"/>
        <w:bidi w:val="0"/>
        <w:jc w:val="left"/>
        <w:rPr/>
      </w:pPr>
      <w:r>
        <w:rPr/>
        <w:t> </w:t>
      </w:r>
    </w:p>
    <w:tbl>
      <w:tblPr>
        <w:tblW w:w="10049" w:type="dxa"/>
        <w:jc w:val="left"/>
        <w:tblInd w:w="0" w:type="dxa"/>
        <w:tblLayout w:type="fixed"/>
        <w:tblCellMar>
          <w:top w:w="28" w:type="dxa"/>
          <w:left w:w="28" w:type="dxa"/>
          <w:bottom w:w="28" w:type="dxa"/>
          <w:right w:w="28" w:type="dxa"/>
        </w:tblCellMar>
      </w:tblPr>
      <w:tblGrid>
        <w:gridCol w:w="4431"/>
        <w:gridCol w:w="346"/>
        <w:gridCol w:w="216"/>
        <w:gridCol w:w="756"/>
        <w:gridCol w:w="170"/>
        <w:gridCol w:w="149"/>
        <w:gridCol w:w="216"/>
        <w:gridCol w:w="756"/>
        <w:gridCol w:w="166"/>
        <w:gridCol w:w="146"/>
        <w:gridCol w:w="211"/>
        <w:gridCol w:w="736"/>
        <w:gridCol w:w="166"/>
        <w:gridCol w:w="146"/>
        <w:gridCol w:w="211"/>
        <w:gridCol w:w="736"/>
        <w:gridCol w:w="491"/>
      </w:tblGrid>
      <w:tr>
        <w:trPr/>
        <w:tc>
          <w:tcPr>
            <w:tcW w:w="4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contract manufacturing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 and professional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Orphai Acquisition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impairment charge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debt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warrants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segment items within net loss include interest income, other income (expense), net, and 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long-lived assets consist primarily of property, plant and equipment, net, and operating lease right-of-use assets are maintained in Italy. As of June 30, 2026 and December 31, 2025, no individual country other than the U.S. accounted for 10% or more of these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2" w:name="section26"/>
      <w:bookmarkStart w:id="13" w:name="item_2_mda"/>
      <w:bookmarkEnd w:id="12"/>
      <w:bookmarkEnd w:id="13"/>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included in “Part I. Item 1. Financial Statements” of this Quarterly Report on Form 10-Q. This discussion contains forward-looking statements that involve risk and uncertainties, such as statements of our plans, objectives, expectations, and intentions, that are based on the beliefs of our management. Our actual results could differ materially from those discussed in these forward-looking statements. Factors that could cause or contribute to such differences include, but are not limited to, those discussed in the “Risk Factors” section of this Quarterly Report on Form 10-Q and our Annual Report on Form 10-K and subsequent Quarterly Reports on Form 10-Q, as well as our Amendment No. 2 to Current Report on Form 8-K filed with the SEC on July 30, 2026. Unless the context requires otherwise, references in this Quarterly Report on Form 10-Q to the “Company,” “Quince,” “we,” “us,” and “our” refer to Quince Therapeutics, Inc. and its consolidated subsidiaries, including Orphai Therapeutics, for periods after the Orphai Acquisition.</w:t>
      </w:r>
    </w:p>
    <w:p>
      <w:pPr>
        <w:pStyle w:val="TextBody"/>
        <w:bidi w:val="0"/>
        <w:spacing w:before="240" w:after="283"/>
        <w:jc w:val="left"/>
        <w:rPr>
          <w:rFonts w:ascii="Times New Roman" w:hAnsi="Times New Roman"/>
          <w:sz w:val="20"/>
        </w:rPr>
      </w:pPr>
      <w:r>
        <w:rPr>
          <w:rFonts w:ascii="Times New Roman" w:hAnsi="Times New Roman"/>
          <w:i/>
          <w:color w:val="000000"/>
          <w:sz w:val="20"/>
        </w:rPr>
        <w:t>Unless otherwise indicated, all share and per share information has been retroactively adjusted to reflect the 1-for-10 reverse stock split of our common stock that became effective on April 10, 2026 (the “April 2026 Reverse Stock Split”) and the 1-for-20 reverse stock split of our common stock that became effective on June 29, 2026 (the “June 2026 Reverse Stock Split” and, together with the April 2026 Reverse Stock Split, the “Reverse Stock Splits”).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14" w:name="section27"/>
      <w:bookmarkEnd w:id="14"/>
      <w:r>
        <w:rPr>
          <w:rFonts w:ascii="Times New Roman" w:hAnsi="Times New Roman"/>
          <w:b/>
          <w:color w:val="000000"/>
          <w:sz w:val="20"/>
        </w:rPr>
        <w:t>Overview</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We are a clinical-stage biopharmaceutical company developing a novel disease modifying therapeutic to address the significant unmet medical need associated with pulmonary disorders with few, if any, treatment options available.</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May 18, 2026, we completed the acquisition of Orphai Therapeutics, LLC, a clinical-stage biotechnology company developing a novel disease modifying therapeutic to address the significant unmet medical need associated with pulmonary disorders with few, if any, treatment options available, in accordance with the terms of the Agreement and Plan of Merger, dated May 17, 2026 (the “Merger Agreement”), by and among the Company, Orphai, and the other parties thereto (the “Orphai Acquisition”). The acquisition brought into our pipeline Orphai’s lead asset, LAM-001, a proprietary investigational inhaled dry powder formulation of rapamycin whose differentiated characteristics may permit treatment of pulmonary conditions associated with dysfunctional mammalian target of rapamycin activity.</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Under the terms of the Merger Agreement, we assumed options to purchase Orphai common stock and were converted into options to purchase an aggregate of 1,308,804 shares of common stock, which options are subject to exercise restrictions prior to obtaining approval during a special meeting of stockholders. In addition, we issued to holders of Orphai warrants (the "Acquisition Warrants") to purchase an aggregate of 10,964.505 shares of Series C Preferred Stock (or 570,169 shares on an as-converted-to-common basis, and without giving effect to any beneficial ownership limitations), at an exercise price of $996.90 per share of Series C Preferred Stock (or $19.17 per share on an as-converted-to-common basis, as adjusted for the June 2026 Reverse Stock Split).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On May 18, 2026, concurrent with the Orphai Acquisition, we entered into a securities purchase agreement (the “May 2026 Securities Purchase Agreement”) for a private placement financing with new and returning investors to raise up to $187.0 million in gross proceeds, which includes $115.0 million in gross upfront proceeds, net of $11.4 million of offering costs, commissions, legal and other expenses for net proceeds from the offering of $103.6 million and up to an additional approximately $72.0 million upon exercise of accompanying warrants (with an additional up to $11.0 million in gross proceeds available upon the exercise of warrants issued to former Orphai stockholders), in which the investors were issued approximately 144,200.633 shares of our Series C non-voting convertible preferred stock (the “Series C Preferred Stock”) (convertible into an aggregate of 7,498,447 shares of common stock, without giving effect to any beneficial ownership limitations) at a price of $797.50 per share and accompanying warrants (the “Financing Warrants”) to purchase up to 72,100.322 shares of Series C Preferred Stock (or 3,749,231 shares on an as-converted-to-common basis and without giving effect to any beneficial ownership limitations) at an exercise price of $996.90 per share (or $19.17 per share on an as-converted-to-common basis, as adjusted for the June 2026 Reverse Stock Split) (the “May 2026 Financing”).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additional information on the Orphai Acquisition and the May 2026 Financing, see Note 3 to our unaudited condensed consolidated financial statements.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Following the acquisition, our lead product candidate is LAM-001. We are currently evaluating the use of LAM-001 as a treatment for patients with pulmonary hypertension associated with interstitial lung disease (“PH-ILD”) and for patients with bronchiolitis obliterans syndrome post lung transplant (“BOS”), both severe, progressive and often life-threatening indications with few therapeutic alternatives of significant clinical benefit. In our recently completed Phase 2a trial, which enrolled patients with pulmonary arterial hypertension as well as patients with PH-ILD and sarcoidosis associated pulmonary hypertension (“SAPH”), LAM-001 achieved clinically relevant improvement across multiple established endpoints, including pulmonary vascular resistance, six-minute walking distance and functional class. A Phase 2b trial of LAM-001 is ongoing, evaluating 75 patients with PH-ILD, with data expected in the first quarter of 2028. A fully enrolled Phase 2 trial of LAM-001 in BOS is currently ongoing, with results anticipated in the first quarter of 2027. In addition, we expect to initiate a Phase 2 trial to evaluate the use of LAM-001 as a treatment for sarcoidosis-associated pulmonary hypertension in late 2026, with data expected in the fourth quarter of 2028.</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Prior to the Orphai Acquisition, our business was focused on developing our proprietary Autologous Intracellular Drug Encapsulation (“AIDE”) technology for the treatment of Ataxia-Telangiectasia (“A-T”) through our encapsulated dexamethasone sodium phosphate encapsulated in patient's own red blood cells (“eDSP”) product candidate. In January 2026, we completed our pivotal Phase 3 NEAT clinical trial of eDSP for the treatment of A-T. As previously disclosed, the primary endpoints of the NEAT trial did not reach statistical significance. Based on the results of the NEAT trial, we determined that we would no longer continue development of eDSP in this or other therapeutic indications, and we are currently considering next steps for the eDSP program and our other assets. </w:t>
      </w:r>
    </w:p>
    <w:p>
      <w:pPr>
        <w:pStyle w:val="TextBody"/>
        <w:bidi w:val="0"/>
        <w:spacing w:before="80" w:after="283"/>
        <w:jc w:val="left"/>
        <w:rPr>
          <w:rFonts w:ascii="Times New Roman" w:hAnsi="Times New Roman"/>
          <w:b/>
          <w:color w:val="000000"/>
          <w:sz w:val="20"/>
        </w:rPr>
      </w:pPr>
      <w:bookmarkStart w:id="15" w:name="section28"/>
      <w:bookmarkEnd w:id="15"/>
      <w:r>
        <w:rPr>
          <w:rFonts w:ascii="Times New Roman" w:hAnsi="Times New Roman"/>
          <w:b/>
          <w:color w:val="000000"/>
          <w:sz w:val="20"/>
        </w:rPr>
        <w:t>Financial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net losses from operations since our inception. As of June 30, 2026, we had an accumulated deficit of $500.0 million. While we generated a net income in the three months ended March 31, 2026, we do not expect to generate product revenue unless and until we obtain marketing approval for and commercialize a product candidate, and we cannot assure you that we will ever generate significant revenue or profits. We expect our expenses to increase in connection with our ongoing activities, particularly as we continue the research and development of, initiate clinical trials of, and potentially seek marketing approval for, our product candidates. In addition, we expect to continue to incur significant costs associated with operating as a public company, including significant legal, accounting, investor relations and other expenses.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expenses since inception have consisted primarily of R&amp;D activities and G&amp;A costs.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 and development expenses consist of expenses incurred in connection with the research and development of our research programs. These expenses include payroll and personnel expenses, including stock-based compensation, for our research and product development employees, laboratory supplies, product licenses, consulting costs, contract research, regulatory, quality assurance, preclinical and clinical expenses, allocated rent, facilities costs and depreciation. We expense both internal and external research and development costs as they are incurred. Non-refundable advance payments and deposits for services that would be used or rendered for future research and development activities are recorded as prepaid expenses and recognized as an expense as the related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research and development expenses will increase from current levels due to the Orphai Acquisition and the increase in headcount as the size of our business and research and development operations grows to support additional research and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principally of personnel-related costs, including payroll and stock-based compensation, for personnel in executive, finance, human resources, business and corporate development, and other administrative functions, professional fees for legal, consulting, insurance and accounting services, allocated rent and other facilities costs, depreciation, and other general operating expenses not otherwise classified as 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from current levels due to the Orphai Acquisition and the increase in headcount as the size of our business and research and development operations grows to support additional research and development activities.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Acquired in-process research and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Acquired in-process research and development expense consists of the fair value of in-process research and development ("IPR&amp;D") acquired in connection with the Orphai Acquisition. As the acquired in-process research and development was determined to have no alternative future use, it was expensed on the acquisition date, in accordance with ASC 730. We do not expect to recognize acquired in-process research and development expense in future periods unless we complete additional acquisitions.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Gain on Orphai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 on Orphai Acquisition represents the excess of the fair value of the net assets acquired, including IPR&amp;D acquired, and net liabilities assumed in connection with the Orphai Acquisition over the fair value of consideration transferred, recognized as of the acquisition date.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Intangible Asset Impairment Charge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Finite-lived intangible asset consists primarily of the tradename and is amortized on a straight-line basis over their estimated useful lives. Indefinite lived intangible assets are not amortized. Intangible assets related to IPR&amp;D acquired in a business combination or an acquisition that are used in IPR&amp;D shall be considered indefinite lived until the completion or abandonment of the associated research and development efforts. 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 As a result of the clinical readout of the Phase 3 NEAT study in January 2026, which led us to discontinue development of eDSP, several of the assumptions used in determining the initial fair value changed including expected cash flows and thus triggered the need for an interim impairment assessment. As a result, the fair value was determined to be significantly below its carrying value and we recognized a total impairment charge of $67.8 million for for indefinite and finite-lived intangible assets during the six months ended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Fair Value Adjustment for 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 fair value adjustment for contingent consideration primarily due to the expected timing of achieving various milestones, and the passage of time related to the contingent consideration earnout resulting from the acquisition of EryDel on October 20, 2023 (the "EryDel Acquisition"). Changes in the fair value of the contingent consideration obligations may result from changes in probability assumptions with respect to the likelihood of achieving the various contingent payment obligations. As a result of the clinical readout of the Phase 3 NEAT study in January 2026, which led us to discontinue development of eDSP, the criteria for the contingent consideration payments will not be met, resulting in the related liability being reduced to zero.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 fair value adjustment for debt primarily due to the passage of time and the interest accrued for the loan with the European Investment Bank ("EIB"). In March 2026, the EIB agreed to a full settlement of all obligations associated with the loan with a single payment of 4.8 million euros ($5.5 million) which was paid on March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record fair value adjustment for warrant liability calculated using the Black-Scholes option pricing model, adjustments are due to changes in our stock price, the expected term, volatility, risk-free interest rate, and expected dividends.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Warrant issuance costs consist of expenses incurred in connection with the Financing Warrants, which are classified as liabilities.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consists primarily of interest earned on our short-term investments portfolio.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(expense), net consists primarily of the effects of foreign currency exchange rates. </w:t>
      </w:r>
    </w:p>
    <w:p>
      <w:pPr>
        <w:pStyle w:val="TextBody"/>
        <w:bidi w:val="0"/>
        <w:spacing w:before="240" w:after="283"/>
        <w:jc w:val="left"/>
        <w:rPr>
          <w:rFonts w:ascii="Times New Roman" w:hAnsi="Times New Roman"/>
          <w:b/>
          <w:color w:val="000000"/>
          <w:sz w:val="20"/>
        </w:rPr>
      </w:pPr>
      <w:bookmarkStart w:id="16" w:name="section29"/>
      <w:bookmarkEnd w:id="16"/>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 description of our significant accounting policies, see Note 2 to our unaudited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our policies, the following are considered critical to an understanding of our condensed consolidated financial statements as they require the application of subjective and complex judgment, involving critical accounting estimates and assumptions impacting our condensed consolidated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Consideration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Combination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discussion about the other critical accounting estimates and assumptions impacting our condensed consolidated financial statements, see the </w:t>
      </w:r>
      <w:r>
        <w:rPr>
          <w:rFonts w:ascii="Times New Roman" w:hAnsi="Times New Roman"/>
          <w:i/>
          <w:color w:val="000000"/>
          <w:sz w:val="20"/>
        </w:rPr>
        <w:t xml:space="preserve">Critical Accounting Estimates </w:t>
      </w:r>
      <w:r>
        <w:rPr>
          <w:rFonts w:ascii="Times New Roman" w:hAnsi="Times New Roman"/>
          <w:color w:val="000000"/>
          <w:sz w:val="20"/>
        </w:rPr>
        <w:t xml:space="preserve">section within MD&amp;A of our Annual Report on Form 10-K for the year ended December 31, 2025, filed with the SEC on April 10,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section31"/>
      <w:bookmarkEnd w:id="17"/>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to the three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sets forth our results of operations for the three months ended June 30, 2026 and 2025 (in thousands, except for percentages):</w:t>
        <w:br/>
        <w:t> </w:t>
      </w:r>
    </w:p>
    <w:tbl>
      <w:tblPr>
        <w:tblW w:w="10199" w:type="dxa"/>
        <w:jc w:val="left"/>
        <w:tblInd w:w="0" w:type="dxa"/>
        <w:tblLayout w:type="fixed"/>
        <w:tblCellMar>
          <w:top w:w="28" w:type="dxa"/>
          <w:left w:w="28" w:type="dxa"/>
          <w:bottom w:w="28" w:type="dxa"/>
          <w:right w:w="28" w:type="dxa"/>
        </w:tblCellMar>
      </w:tblPr>
      <w:tblGrid>
        <w:gridCol w:w="4431"/>
        <w:gridCol w:w="146"/>
        <w:gridCol w:w="272"/>
        <w:gridCol w:w="951"/>
        <w:gridCol w:w="214"/>
        <w:gridCol w:w="188"/>
        <w:gridCol w:w="272"/>
        <w:gridCol w:w="951"/>
        <w:gridCol w:w="166"/>
        <w:gridCol w:w="146"/>
        <w:gridCol w:w="211"/>
        <w:gridCol w:w="736"/>
        <w:gridCol w:w="166"/>
        <w:gridCol w:w="146"/>
        <w:gridCol w:w="146"/>
        <w:gridCol w:w="481"/>
        <w:gridCol w:w="576"/>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Orphai Acquisition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79,782</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Research and Development Expenses </w:t>
      </w:r>
      <w:r>
        <w:rPr>
          <w:rFonts w:ascii="Times New Roman" w:hAnsi="Times New Roman"/>
          <w:i/>
          <w:color w:val="000000"/>
          <w:sz w:val="20"/>
        </w:rPr>
        <w:t>(in thousands, except for percentages):</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4866"/>
        <w:gridCol w:w="346"/>
        <w:gridCol w:w="254"/>
        <w:gridCol w:w="689"/>
        <w:gridCol w:w="200"/>
        <w:gridCol w:w="176"/>
        <w:gridCol w:w="254"/>
        <w:gridCol w:w="689"/>
        <w:gridCol w:w="146"/>
        <w:gridCol w:w="146"/>
        <w:gridCol w:w="211"/>
        <w:gridCol w:w="631"/>
        <w:gridCol w:w="166"/>
        <w:gridCol w:w="146"/>
        <w:gridCol w:w="146"/>
        <w:gridCol w:w="481"/>
        <w:gridCol w:w="576"/>
      </w:tblGrid>
      <w:tr>
        <w:trPr/>
        <w:tc>
          <w:tcPr>
            <w:tcW w:w="4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eDSP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LAM-001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direct research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$5.5 million for the three months ended June 30, 2026, compared to $6.6 million for the three months ended June 30, 2025, a decrease of $1.1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for eDSP development decreased by $5.4 million compared to the same period from the prior year due to the ramping down related to our Phase 3 NEAT clinical trial and Open-Label Extension Clinical Trial ("OLE") as well as a gain on the settlement of accounts payable. This decrease was primarily due to a gain on settlement of accounts payable of $1.1 million, as well as a decrease in clinical trial costs of $3.5 million, a decrease in eDSP consulting of $1.1 million, and a decrease in manufacturing costs of $0.2 million, offset by an increase of R&amp;D expenses of $0.5 million related to the reserve and adjustment for R&amp;D tax credits.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for LAM-001 development increased by $0.8 million during the three months ended June 30, 2026 as compared to the three months ended June 30, 2025, due to the Orphai Acquisition as a result of the start-up costs of LAM-001.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personnel related costs increased by $3.6 million during the three months ended June 30, 2026 as compared to the three months ended June 30, 2025, mainly as a result of an increase of $2.7 million in allocated stock-based compensation costs and a $0.9 million increase in other personnel related expenses, including costs related to Orphai Acquisition and severance costs related to personnel separation.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increased by $13.3 million to $16.6 million for the three months ended June 30, 2026, from $3.3 million for the three months ended June 30, 2025. The increase in general and administrative expenses was primarily due to $9.1 million in allocated stock-based compensation and personnel related expenses primarily due to the assumptions of the Orphai historical options upon acquisition, an increase of $4.4 million in consulting and professional costs related to activities related to restructuring and the Orphai Acquisition, offset by $0.2 million related to other professional and administrative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the fair value adjustment for contingent consideration decreased by $0.5 million as we recorded a fair value adjustment for contingent consideration as a result of the clinical readout of the Phase 3 NEAT study in January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the fair value adjustment for the debt decreased by $0.5 million primarily due to the settlement of the loan with the EIB in March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we recorded an increase of $9.0 million fair value adjustment for warrants primarily due to the issuance of the Acquisition and Financing Warrants, exercise of the Pre-Funded Warrants, cancellation of the Common warrants, and changes in the price of the underlying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increased by $0.3 million for the three months ended June 30, 2026, as compared to the three months ended June 30, 2025. The change was due to increased yields on our investment portfolio and increased average balances.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 net increased by $0.2 million for the three months ended June 30, 2026 primarily due to unrealized gains from foreign currency translation.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recorded a tax expense of $75 thousand and $67 thousand for the three months ended June 30, 2026 and 2025, respectively. The tax expense was primarily due to the current-period Italian income tax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to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sets forth our results of operations for the six months ended June 30, 2026 and 2025 (in thousands, except for percentages):</w:t>
      </w:r>
    </w:p>
    <w:p>
      <w:pPr>
        <w:pStyle w:val="TextBody"/>
        <w:bidi w:val="0"/>
        <w:jc w:val="left"/>
        <w:rPr/>
      </w:pPr>
      <w:r>
        <w:rPr/>
        <w:t> </w:t>
      </w:r>
    </w:p>
    <w:tbl>
      <w:tblPr>
        <w:tblW w:w="10110" w:type="dxa"/>
        <w:jc w:val="left"/>
        <w:tblInd w:w="0" w:type="dxa"/>
        <w:tblLayout w:type="fixed"/>
        <w:tblCellMar>
          <w:top w:w="28" w:type="dxa"/>
          <w:left w:w="28" w:type="dxa"/>
          <w:bottom w:w="28" w:type="dxa"/>
          <w:right w:w="28" w:type="dxa"/>
        </w:tblCellMar>
      </w:tblPr>
      <w:tblGrid>
        <w:gridCol w:w="4431"/>
        <w:gridCol w:w="146"/>
        <w:gridCol w:w="254"/>
        <w:gridCol w:w="886"/>
        <w:gridCol w:w="199"/>
        <w:gridCol w:w="175"/>
        <w:gridCol w:w="254"/>
        <w:gridCol w:w="886"/>
        <w:gridCol w:w="166"/>
        <w:gridCol w:w="146"/>
        <w:gridCol w:w="211"/>
        <w:gridCol w:w="736"/>
        <w:gridCol w:w="166"/>
        <w:gridCol w:w="146"/>
        <w:gridCol w:w="146"/>
        <w:gridCol w:w="586"/>
        <w:gridCol w:w="576"/>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Orphai Acquisition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1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income tax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(44,840</w:t>
            </w:r>
          </w:p>
        </w:tc>
        <w:tc>
          <w:tcPr>
            <w:tcW w:w="1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(39,576</w:t>
            </w:r>
          </w:p>
        </w:tc>
        <w:tc>
          <w:tcPr>
            <w:tcW w:w="1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Research and Development Expenses </w:t>
      </w:r>
      <w:r>
        <w:rPr>
          <w:rFonts w:ascii="Times New Roman" w:hAnsi="Times New Roman"/>
          <w:i/>
          <w:color w:val="000000"/>
          <w:sz w:val="20"/>
        </w:rPr>
        <w:t>(in thousands, except for percentages):</w:t>
      </w:r>
    </w:p>
    <w:p>
      <w:pPr>
        <w:pStyle w:val="TextBody"/>
        <w:bidi w:val="0"/>
        <w:jc w:val="left"/>
        <w:rPr/>
      </w:pPr>
      <w:r>
        <w:rPr/>
        <w:t> </w:t>
      </w:r>
    </w:p>
    <w:tbl>
      <w:tblPr>
        <w:tblW w:w="9869" w:type="dxa"/>
        <w:jc w:val="left"/>
        <w:tblInd w:w="0" w:type="dxa"/>
        <w:tblLayout w:type="fixed"/>
        <w:tblCellMar>
          <w:top w:w="28" w:type="dxa"/>
          <w:left w:w="28" w:type="dxa"/>
          <w:bottom w:w="28" w:type="dxa"/>
          <w:right w:w="28" w:type="dxa"/>
        </w:tblCellMar>
      </w:tblPr>
      <w:tblGrid>
        <w:gridCol w:w="4866"/>
        <w:gridCol w:w="346"/>
        <w:gridCol w:w="211"/>
        <w:gridCol w:w="677"/>
        <w:gridCol w:w="146"/>
        <w:gridCol w:w="146"/>
        <w:gridCol w:w="211"/>
        <w:gridCol w:w="677"/>
        <w:gridCol w:w="146"/>
        <w:gridCol w:w="146"/>
        <w:gridCol w:w="211"/>
        <w:gridCol w:w="631"/>
        <w:gridCol w:w="166"/>
        <w:gridCol w:w="146"/>
        <w:gridCol w:w="146"/>
        <w:gridCol w:w="421"/>
        <w:gridCol w:w="576"/>
      </w:tblGrid>
      <w:tr>
        <w:trPr/>
        <w:tc>
          <w:tcPr>
            <w:tcW w:w="4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eDSP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LAM-001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direct research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$12.3 million for the six months ended June 30, 2026, compared to $14.7 million for the six months ended June 30, 2025, a decrease of $2.4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for eDSP development decreased by $7.9 million compared to the same period from the prior year due to the ramping down related to our Phase 3 NEAT clinical trial and OLE as well as a gain on the settlement of accounts payable. This decrease was primarily due to a gain on settlement of accounts payable of $3.7 million as well as a decrease in clinical trial costs of $5.3 million, a decrease in eDSP consulting of $1.5 million, and a decrease in manufacturing costs of $0.6 million, offset by an increase of R&amp;D expenses of $3.2 million related to the reserve and adjustment for R&amp;D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for LAM-001 development increased by $0.8 million during the six months ended June 30, 2026 as compared to the six months ended June 30, 2025, due to the Orphai Acquisition as a result of the start-up costs of LAM-001.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Personnel related costs increased by $4.3 million during the six months ended June 30, 2026 as compared to the six months ended June 30, 2025, mainly as a result of an increase of $2.9 million in allocated stock-based compensation costs and a $1.4 million increase in other personnel related expenses, including costs related to Orphai Acquisition and severance costs related to personnel separation.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increased by $12.8 million to $20.9 million for the six months ended June 30, 2026, from $8.1 million for the six months ended June 30, 2025. The increase in general and administrative expenses was primarily due to $8.5 million in allocated stock-based compensation and personnel related expenses primarily due to the assumptions of the Orphai historical options upon acquisition, and an increase of $4.3 million in consulting and professional costs related to the restructuring activities.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 Impairment Charge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we conducted an impairment analysis of our intangible asset IPR&amp;D and tradename that resulted from the EryDel Acquisition in October 2023. We conducted a quantitative analysis which resulted in our fair value being significantly below our current carrying value due to the assumptions changing as a result of the Phase 3 NEAT study in January 2026. As a result of the analyses, we recorded a non-cash intangible asset impairment charge of $67.8 million for the six months ended June 30, 2026.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we recorded a $64.3 million fair value adjustment for contingent consideration as a result of the clinical readout of the Phase 3 NEAT study in January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we recorded a $12.2 million fair value adjustment for the debt primarily due to the settlement of the loan with the EIB in March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we recorded an increase of $40.1 million in fair value adjustment for warrants primarily due to timing of issuance of the Acquisition and Financing Warrants and change in the price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increased by $27 thousand for the six months ended June 30, 2026, as compared to the six months ended June 30, 2025. The change was due to increased yields on our investment portfolio and increased average balances.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 net increased by $2.0 million for the six months ended June 30, 2026, primarily due to unrealized gains from foreign currency translation.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Benefit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recorded $5.3 million of tax benefit for the six months ended June 30, 2026 and tax expense of $0.1 million for the six months ended June 30, 2025. The tax benefit was primarily related to discrete release of uncertain tax position liabilities associated with certain intellectual property following changes in facts and circumstances in the six months ended June 30, 2026 that affected the valuation of the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generated any revenue and we have never been profitable. To date, we have financed our operations primarily through the issuance and sale of our securities. From inception through June 30, 2026, we received net proceeds of approximately $345.7 million from the issuance of redeemable convertible preferred stock, convertible promissory notes, common warrants, pre-funded warrants, and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net losses from operations since our inception. As of June 30, 2026, we had an accumulated deficit of $500.0 million. While we generated a net income in the three months ended March 31, 2026, we do not expect to generate product revenue unless and until we obtain marketing approval for and commercialize a product candidate, and we cannot assure you that we will ever generate significant revenue or profits. We expect our expenses to increase in connection with our ongoing activities, particularly as we continue the research and development of, initiate clinical trials of, and potentially seek marketing approval for, our product candidates. In addition, we expect to continue to incur significant costs associated with operating as a public company, including significant legal, accounting, investor relations and other expenses. The timing and amount of our operating expenditures will depend largely 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costs and results of current and future preclinical studies and clinical trials for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the manufacture of additional clinical trial material as well as any costs related to the scale-up of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hire additional clinical, quality assurance, quality control and other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develop or may in-license;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meeting and maintaining compliance with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filing, prosecuting, defending and enforcing our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collaboration agreements we may choose to enter into, including the achievement of milestones or occurrence of other developments that trigger payments under any license or collaboration agreements we might have at such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the expansion of our operational, financial and management systems and increased personnel, including personnel to support our operations as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any product candidates for which we may receive regulatory approval in regions where we choose to commercialize.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We evaluated whether there are conditions and events, considered in the aggregate, that raise substantial doubt about our ability to continue as a going concern within one year after the date that our unaudited condensed consolidated financial statements are issued.</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Concurrent with the Orphai Acquisition, in May 2026, we completed the May 2026 Financing, providing $115.0 million in upfront proceeds, with the potential to receive up to an additional $72.0 million in gross proceeds upon the exercise of the Financing Warrants (with an additional up to $11.0 million in gross proceeds available upon the exercise of warrants issued to former Orphai stockholders). The Series C Preferred Stock is subject to automatic conversion into common stock upon the third business day following our receipt of stockholder approval in accordance with Nasdaq Listing Rules, subject to certain beneficial ownership limitations. The Certificate of Designation of Preferences, Rights and Limitations of the Series C Non-Voting Convertible Preferred Stock (the “Certificate of Designation”) provides that, at any time following the earlier of (i) stockholder approval or (ii) six months after the initial issuance of the Series C Preferred Stock, if we fail to timely deliver shares of common stock to a converting holder in accordance with the terms of the Certificate of Designation, such holder may require us to pay cash in an amount equal to the fair value of the undelivered shares. As a result, we concluded that the proceeds received from the May 2026 Financing cannot be relied upon to mitigate conditions that raise substantial doubt because the availability of those proceeds is subject to conditions that are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entirely within our control. The conversion of the Series C Preferred Stock into common stock and therefore removal of the requirement to make cash payment based on the value of the undelivered shares is subject to the vote of our stockholders.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Our ability to satisfy these potential cash settlement obligations associated with the Series C Preferred Stock is not entirely within our control, as it is contingent on, among other things, our ability to obtain stockholder approval and to deliver shares of common stock upon conversion within the timeframes required by the Certificate of Designation. If we are unable to obtain stockholder approval in a timely manner, or are otherwise unable to timely deliver shares of common stock upon conversion, holders who submit conversion notices after the applicable trigger date could require us to make significant cash payments that could substantially reduce our available cash resources. Factoring in these potential cash payments, based on our current operating plan, we believe that our cash and cash equivalents balance will not be sufficient to fund operations and capital expenditures for at least the twelve months following the issuance of our unaudited condensed consolidated financial statements. Accordingly, we concluded that substantial doubt about our ability to continue as a going concern continues to exist within one year after the date our financial statements are available to be issued.</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product discovery,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are obligated to reimburse, or entitled to reimbursement of, clinical trial costs under collaboration agreements,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securing manufacturing arrangements for commercial production;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establishing or contracting for sales and marketing capabilities if we obtain regulatory approvals to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cash equivalents, and marketable debt securities are held in a variety of deposit accounts, interest-bearing accounts, U.S government securities, debt securities in government-sponsored entities, and money market funds. Cash in excess of immediate requirements, if any, is invested with a view toward liquidity and capital preservation, and we seek to minimize the potential effects of concentration and credit risk. Our cash equivalents and short-term investments are held in money market funds and government agency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product revenue, we expect to finance our operations through a combination of equity offerings, debt financings, collaborations, strategic alliances and marketing, distribution or licensing arrangements.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funds through collaborations, strategic alliances or marketing, distribution or licensing arrangements with third parties, we may have to relinquish valuable rights to our future revenue streams, research programs or product candidates or grant licenses on terms that may not be favorable to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Equity Financing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ATM Program</w:t>
      </w:r>
    </w:p>
    <w:p>
      <w:pPr>
        <w:pStyle w:val="TextBody"/>
        <w:bidi w:val="0"/>
        <w:spacing w:before="240" w:after="283"/>
        <w:jc w:val="left"/>
        <w:rPr>
          <w:rFonts w:ascii="Times New Roman" w:hAnsi="Times New Roman"/>
          <w:sz w:val="20"/>
        </w:rPr>
      </w:pPr>
      <w:r>
        <w:rPr>
          <w:rFonts w:ascii="Times New Roman" w:hAnsi="Times New Roman"/>
          <w:color w:val="000000"/>
          <w:sz w:val="20"/>
        </w:rPr>
        <w:t>On December 18, 2024, we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with Cantor Fitzgerald &amp; Co. and H.C. Wainwright &amp; Co., LLC (the "Agents"), relating to the sale of shares of our common stock. In accordance with the terms of this agreement, we could offer and sell up to $21.9 million of shares of common stock. In October 2025, we increased the total amount available under the ATM program to $75.0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we utilized our ATM program to raise net proceeds of approximately $5.4 million and $20.3 million by issuing 125,500 shares and 526,435 shares of common stock, respectively. As of June 30, 2026, $47.5 million remained available to be sold under the ATM program.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May 2026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18, 2026, concurrent with the Orphai Acquisition, we entered into the May 2026 Securities Purchase Agreement for a private placement financing with new and returning investors to raise up to $187.0 million in gross proceeds, which includes $115.0 million in upfront proceeds and up to an additional approximately $72.0 million upon exercise of the Financing Warrants, in which the investors were issued approximately 144,200.633 shares of Series C Preferred Stock (convertible into an aggregate of 7,498,447 shares of common stock, without giving effect to any beneficial ownership limitations) at a price of $797.50 per share and Financing Warrants to purchase up to 72,100.322 shares of Series C Preferred Stock (or 3,749,231 shares, on an as-converted-to-common basis and without giving effect to any beneficial ownership limitations) at an exercise price of $996.90 per share (or $19.17 per share on an as-converted-to-common basis, as adjusted for the June 2026 Reverse Stock Split). For additional information on the May 2026 Financing, see Note 10 to our unaudited condensed consolidated financial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June 2025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12, 2025, we entered into a Securities Purchase Agreement (the “June 2025 Securities Purchase Agreement”), with certain institutional investors (the “Investors”) and certain members of our management (together with the Investors, the “Purchasers”) pursuant to which we issued and sold to the Purchasers in a private placement (the “Private Placement”): (i) 33,360 shares (the “Shares”) of our common stock, (ii) pre-funded warrants (the “Pre-Funded Warrants”) to purchase up to an aggregate of 10,000 shares of common stock, and (iii) accompanying warrants to purchase up to an aggregate of 43,360 shares of common stock (the “Common Warrants”), for aggregate gross proceeds of approximately $11.5 million (excluding up to approximately $10.4 million of aggregate gross proceeds that may be received in the future upon the cash exercise in full of the Common Warrants issued in the Private Placement), before deducting placement agent fees and other expenses payable by us. Each Share and each Pre-Funded Warrant sold pursuant to the Securities Purchase Agreement was accompanied by one Common Warrant. The combined purchase price of each Share and accompanying Common Warrant was $265.00 (which included $25.00 per Common Warrant in accordance with the rules and regulations of Nasdaq). The combined purchase price of each Pre-Funded Warrant and accompanying Common Warrant was $264.80 (equal to the combined purchase price per Share and accompanying Common Warrant, minus $0.20).</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acquisition of EryDel on October 20, 2023, we guaranteed the EIB Loan. The EIB Loan was amended and restated as of the acquisition date. The EIB Loan provided for maximum borrowings of 30.0 million euro through four tranches; tranche A, 3.0 million euro; tranche B, 7.0 million euro; tranche C, 10.0 million euro; and tranche D, 10.0 million euro. Each tranche was subject to conditions precedent related to our business and capitalization. Only tranches A and B were drawn. All amounts under tranche A and B were payable on their maturity date of August 2026. Interest accrued at fixed rates for each tranche and both principal and interest was payable on the maturity date for each tranche (with the exception of 2% cash interest which was accrued and payable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quarterly during fiscal year 2025 pursuant to the terms of the Amendment (as defined below), which correspondingly reduced the deferred interest rate accruing during such period). The fixed rates ranged from 7.0% to 9.0% per annum.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27, 2026, we entered into a loan settlement agreement (the “Settlement Agreement”) with the EIB in connection with the EIB loan. Pursuant to the Settlement Agreement, effective immediately upon our payment of 4.8 million euros ($5.5 million), our outstanding obligations to the EIB were settled in full and all of our obligations were satisfied and discharged.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primary sources and uses of cash and cash equivalents for each of the periods presented below (in thousands):</w:t>
      </w:r>
    </w:p>
    <w:p>
      <w:pPr>
        <w:pStyle w:val="TextBody"/>
        <w:bidi w:val="0"/>
        <w:jc w:val="left"/>
        <w:rPr/>
      </w:pPr>
      <w:r>
        <w:rPr/>
        <w:t> </w:t>
      </w:r>
    </w:p>
    <w:tbl>
      <w:tblPr>
        <w:tblW w:w="8179" w:type="dxa"/>
        <w:jc w:val="left"/>
        <w:tblInd w:w="0" w:type="dxa"/>
        <w:tblLayout w:type="fixed"/>
        <w:tblCellMar>
          <w:top w:w="28" w:type="dxa"/>
          <w:left w:w="28" w:type="dxa"/>
          <w:bottom w:w="28" w:type="dxa"/>
          <w:right w:w="28" w:type="dxa"/>
        </w:tblCellMar>
      </w:tblPr>
      <w:tblGrid>
        <w:gridCol w:w="3666"/>
        <w:gridCol w:w="146"/>
        <w:gridCol w:w="248"/>
        <w:gridCol w:w="921"/>
        <w:gridCol w:w="195"/>
        <w:gridCol w:w="172"/>
        <w:gridCol w:w="248"/>
        <w:gridCol w:w="868"/>
        <w:gridCol w:w="166"/>
        <w:gridCol w:w="146"/>
        <w:gridCol w:w="211"/>
        <w:gridCol w:w="781"/>
        <w:gridCol w:w="411"/>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decreased by $5.5 million during the six months ended June 30, 2026 compared to the six months ended June 30, 2025, primarily due to lower operating payments driven by decreased clinical development activities. Net cash used in operating activities was $26.5 million for the six months ended June 30, 2026. Cash used in operating activities was primarily due to our net loss of $39.6 million for the period, adjusted for $23.0 million of non-cash items, including $67.8 million non-cash impairment on intangible assets, $64.3 million change in the fair value of contingent consideration liabilities, $59.0 million acquired in-process research and development from the Orphai Acquisition, $35.6 million change in the fair value of warrants, $13.4 million in stock-based compensation, $12.2 million change in the fair value of the EIB Loan, $3.7 million in gain on settlement of accounts payable, and a net increase in our operating assets of $1.1 million and a net increase in our accounts payable, and accrued expenses and other current liabilities of $8.9 million.</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jc w:val="left"/>
        <w:rPr>
          <w:rFonts w:ascii="Times New Roman" w:hAnsi="Times New Roman"/>
          <w:color w:val="000000"/>
          <w:sz w:val="20"/>
        </w:rPr>
      </w:pPr>
      <w:r>
        <w:rPr>
          <w:rFonts w:ascii="Times New Roman" w:hAnsi="Times New Roman"/>
          <w:color w:val="000000"/>
          <w:sz w:val="20"/>
        </w:rPr>
        <w:t>Cash provided by investing activities was $20.0 million for the six months ended June 30, 2026, primarily related to the proceeds from maturities of short-term investments of $12.0 million and the net cash assumed in the Orphai Acquisition of $8.0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was $16.9 million for the six months ended June 30, 2025, primarily related to the maturities of short-term investments of $31.0 million, and the purchase of investments of $13.8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financing activities was $118.4 million for the six months ended June 30, 2026, which consisted of $103.6 million of proceeds from the issuance of Series C Preferred Stock and Financing Warrants pursuant to the May 2026 Private Placement, $20.3 million from the issuance of common stock in connection with the ATM offerings, offset by the repayment of debt of $5.5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was $14.5 million for the six months ended June 30, 2025, which consisted of gross proceeds of $11.5 million from the issuance of common stock, common warrants, and pre-funded warrants in connection with June 2025 Private Placement, $2.9 million from the issuance of common stock in connection with the ATM offerings, and $0.2 million from the exercise of stock options in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8" w:name="section32"/>
      <w:bookmarkEnd w:id="18"/>
      <w:r>
        <w:rPr>
          <w:rFonts w:ascii="Times New Roman" w:hAnsi="Times New Roman"/>
          <w:b/>
          <w:color w:val="000000"/>
          <w:sz w:val="20"/>
        </w:rPr>
        <w:t>Contractual Obligations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contractual obligations primarily consist of our obligations under non-cancellable operating leases and other purchase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contracts in the normal course of business with third party contract organizations for clinical trials, non-clinical studies and testing, manufacturing, and other services and products for operating purposes. The amount and timing of the payments under these contracts varies based upon the timing of the services. We have recorded accrued expense of approximately $3.9 million in our condensed consolidated balance sheets for expenditures incurred by these vendors as of June 30, 2026. Our cancellable future operating expense commitments based on existing contracts as of June 30, 2026 is $2.5 million. These obligations will be satisfied in the normal course of business, but generally no longer than 12 months. In March 2026, we entered into a Settlement Agreement with the EIB to settle our outstanding obligations in full with a single payment of 4.8 million euros ($5.5 million). Following such payment, all of our obligations to the EIB were satisfied and discharged. Additionally, in March 2026, it was determined that the criteria for the contingent consideration payouts will not be met, resulting in the related liability being reduced to zero. As of June 30, 2026, the fair value of warrants issued in connection with the June 2025 and May 2026 private placements is $6.3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future capital requirements will depend on, among other things, the timing of stockholder approval of the Company Stockholders Matters (as defined in the Merger Agreement as the “Parent Stockholder Matters”) and the potential cash settlement obligations that may arise if we are unable to timely deliver shares of our common stock upon conversion of the Series C Preferred Stock issued in connection with the Orphai Acquisition and the May 2026 Financing. The Series C Preferred Stock is subject to automatic conversion into common stock upon the third business day following our receipt of stockholder approval in accordance with Nasdaq Listing Rules, subject to certain beneficial ownership limitations. The Certificate of Designation of Preferences, Rights and Limitations of the Series C Non-Voting Convertible Preferred Stock (the “Certificate of Designation”) provides that, at any time following the earlier of (i) stockholder approval or (ii) six months after the initial issuance of the Series C Preferred Stock, if we fail to timely deliver shares of common stock to a converting holder in accordance with the terms of the Certificate of Designation, such holder may require us to pay cash in an amount equal to the fair value of the undelivered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satisfy these potential cash settlement obligations is not entirely within our control, as it is contingent on, among other things, our ability to obtain stockholder approval and to deliver shares of common stock upon conversion within the timeframes required by the Certificate of Designation. If we are unable to obtain stockholder approval in a timely manner, or are otherwise unable to timely deliver shares of common stock upon conversion, holders who submit conversion notices after the applicable trigger date could require us to make significant cash payments that could substantially reduce our available cash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even following stockholder approval, certain holders may be unable to convert their Series C Preferred Stock due to the application of beneficial ownership limitations. Shares of Series C Preferred Stock that are not converted in the automatic conversion on account of beneficial ownership limitations will remain outstanding until converted at the option of the applicable holders, and the cash settlement provisions described above would apply to any failure to timely deliver conversion shares in connection with any such optional conversion.</w:t>
      </w:r>
    </w:p>
    <w:p>
      <w:pPr>
        <w:pStyle w:val="TextBody"/>
        <w:bidi w:val="0"/>
        <w:spacing w:before="240" w:after="283"/>
        <w:jc w:val="left"/>
        <w:rPr>
          <w:rFonts w:ascii="Times New Roman" w:hAnsi="Times New Roman"/>
          <w:b/>
          <w:color w:val="000000"/>
          <w:sz w:val="20"/>
        </w:rPr>
      </w:pPr>
      <w:bookmarkStart w:id="19" w:name="item_3_quantitative_and_qualitative"/>
      <w:bookmarkEnd w:id="19"/>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as amended (the “Exchange Act”), and are not required to provide the information required under this item.</w:t>
      </w:r>
    </w:p>
    <w:p>
      <w:pPr>
        <w:pStyle w:val="TextBody"/>
        <w:bidi w:val="0"/>
        <w:spacing w:before="240" w:after="283"/>
        <w:jc w:val="left"/>
        <w:rPr>
          <w:rFonts w:ascii="Times New Roman" w:hAnsi="Times New Roman"/>
          <w:b/>
          <w:color w:val="000000"/>
          <w:sz w:val="20"/>
        </w:rPr>
      </w:pPr>
      <w:bookmarkStart w:id="20" w:name="item_4_controls_and_procedures"/>
      <w:bookmarkEnd w:id="20"/>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disclosure controls and procedures are designed to ensure that information required to be disclosed by us in reports that we file or submit under the Exchange Act, is recorded, communicated to our management to allow timely decisions regarding required disclosure, summarized and reported within the time periods specified in the SEC's rules and forms. Any disclosure controls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the Chief Executive Officer and Principal Financial Officer, we conducted an evaluation of the effectiveness of our disclosure controls and procedures, as such term is defined under Rules 13a-15(e) and 15d-15(e) under the Exchange Act, as of June 30, 2026. Based on that evaluation, the Chief Executive Officer and Principal Financial Officer have concluded that, as of such date, our disclosure controls and procedures were effective.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set forth below, 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18, 2026, we completed our acquisition of Orphai, as further described in Note 3 to the condensed consolidated financial statements included elsewhere in this Quarterly Report. In connection with the acquisition, we have begun the process of integrating Orphai’s financial processes, systems, and personnel into our system of internal control over financial reporting during the three months ended June 30, 2026. We expect this integration to continue through the remainder of 2026 and to result in changes to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1" w:name="part_ii_other_information"/>
      <w:bookmarkEnd w:id="21"/>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22" w:name="item_1_legal_proceedings"/>
      <w:bookmarkEnd w:id="22"/>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arising in the ordinary course of business.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 </w:t>
      </w:r>
    </w:p>
    <w:p>
      <w:pPr>
        <w:pStyle w:val="TextBody"/>
        <w:bidi w:val="0"/>
        <w:spacing w:before="240" w:after="283"/>
        <w:jc w:val="left"/>
        <w:rPr>
          <w:rFonts w:ascii="Times New Roman" w:hAnsi="Times New Roman"/>
          <w:b/>
          <w:color w:val="000000"/>
          <w:sz w:val="20"/>
        </w:rPr>
      </w:pPr>
      <w:bookmarkStart w:id="23" w:name="item_1a_risk_factors"/>
      <w:bookmarkEnd w:id="23"/>
      <w:r>
        <w:rPr>
          <w:rFonts w:ascii="Times New Roman" w:hAnsi="Times New Roman"/>
          <w:b/>
          <w:color w:val="000000"/>
          <w:sz w:val="20"/>
        </w:rPr>
        <w:t>Item 1A. Risk Factors.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to the other information set forth below and elsewhere in this report, you should carefully consider the risks described below, as well as general economic and business risks and the other information herein.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risk factors summarized below could materially harm our business, operating results, and/or financial condition, impair our future prospects, and/or cause the price of our common stock to decline. These risks are discussed more fully below. Material risks that may affect our business, financial condition, results of operations, and trading price of our common stock include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a limited operating history, have incurred net losses since our inception, and anticipate that we will incur significant losses for the foreseeable future. We may never generate any revenue or become profitable or, if we achieve profitability, may not be able to sustain 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raise additional capital when needed, we may be forced to delay, reduce or eliminate our product development programs or other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need substantial additional funding to complete the development of our product candidates. A failure to obtain this necessary capital when needed could force us to further delay, limit, reduce or terminate our product development or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losses every year since our inception. We expect to continue to incur losses over the next several years and may never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is highly dependent on the success of LAM-001. LAM-001 will require additional clinical and manufacturing development before we may be able to seek regulatory approval for and launch a product commercially and we may not be successful in our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data from our clinical trials that we announce or publish from time to time may change as more patients are enrolled and additional data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depend on timely enrollment of patients in our clinical trials for our product candidates. If we encounter difficulties enrolling patients in our clinical trials, our clinical development activities could be delayed or otherwise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are difficult to design and implement, can be lengthy and expensive, involve uncertain outcomes and may not ultimately be 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and expect to continue to rely, on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FDA does not conclude that LAM-001 satisfies the requirements for the Section 505(b)(2) regulatory approval pathway, or if the requirements under Section 505(b)(2) are not as we expect, the approval pathway for LAM-001 will likely take significantly longer, cost significantly more and entail significantly greater complications and risks than anticipated and may not be successful.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rapidly changing industry and face significant competition, which may result in others discovering, developing or commercializing products before or more successfully than we do.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any of our product candidates receives marketing approval, it may fail to achieve the degree of market acceptance by physicians, patients, third-party payors and others in the medical community necessary for commercial success.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our product candidates will depend on several factors, including obtaining and maintaining patent and trade secret protection and/or regulatory exclusivity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and maintain patent protection for our technologies and product candidates, or if the scope of the patent protection obtained is not sufficiently broad, our competitors could develop and commercialize technology and products similar or identical to ours, and our ability to successfully commercialize our technology and product candidates may be impaired.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initiate legal proceedings alleging that we are infringing their intellectual property rights, the outcome of which would be uncertain and could significantly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no guarantee that the Acquisition will increase stockholder value.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terms of the Acquisition and related 2026 Private Placement, we are required to recommend that our stockholders approve the conversion of all outstanding shares of our Series C Preferred Stock into shares of our common stock. We must also obtain stockholder approval of an amendment to our certificate of incorporation to increase the number of shares we are authorized to issue. We cannot guarantee that our stockholders will approve these matters, and if they fail to do so we may be required to settle such shares in cash and our operations would be materially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or perceived failure to comply with data privacy and security obligations including our experiencing security incidents could harm our business. Compliance or the actual or perceived failure to comply with such obligations could increase our costs and otherwise negatively affect our operating results and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to successfully integrate the businesses of Quince and Orphai in the expected timeframe could adversely affect our results of operations, financial condition, and future results.</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0" w:after="240"/>
        <w:jc w:val="both"/>
        <w:rPr>
          <w:rFonts w:ascii="Times New Roman" w:hAnsi="Times New Roman"/>
          <w:sz w:val="20"/>
        </w:rPr>
      </w:pPr>
      <w:r>
        <w:rPr>
          <w:rFonts w:ascii="Times New Roman" w:hAnsi="Times New Roman"/>
          <w:b/>
          <w:i/>
          <w:color w:val="000000"/>
          <w:sz w:val="20"/>
        </w:rPr>
        <w:t>We have a limited operating history and have a history of significant losses since our inception. We may incur losses over the next several years and may never achieve or maintain profitability.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that may make it difficult to evaluate the success of our business to date and to assess the future viability of our business prospects. Our operations to date have been limited to business planning, including the Acquisition, organizing and staffing our company, raising capital, identifying potential product candidates, conducting clinical trials and preclinical studies for our development programs, entering into licensing agreements, establishing and enhancing our intellectual property portfolio, and providing general and administrative support for these operations.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a history of significant net losses since our inception. Our net loss was $39.6 million and $31.1 million for six months ended June 30, 2026 and 2025, respectively, and $84.0 million and $56.8 million for the years ended December 31, 2025 and 2024, respectively. As of June 30, 2026 and as of December 31, 2025, we had an accumulated deficit of $500.0 million and $460.5 million, respectively. We have funded our operations to date primarily with proceeds from the sale of our equity securities and borrowings of convertible debt.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no products approved for commercial sale, have not generated any revenue from commercial sales of our product candidates, and are devoting substantially all of our financial resources and efforts to the research and development of LAM-001. Investment in clinical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expect that it will take at least several years until any of our product candidates receive marketing approval and are commercialized, and we may never be successful in obtaining marketing approval and commercializing product candidates. We expect to continue to incur significant expenses and increasing operating losses for the foreseeable future. These net losses will adversely impact our stockholders’ equity and net assets and may fluctuate significantly from quarter to quarter and year to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become and remain profitable, we must succeed in developing and eventually commercializing products that generate significant revenue. Achievement will require us to be successful in a range of challenging activities, including completing preclinical studies and clinical trials of our product candidates, obtaining regulatory approval, manufacturing, marketing and selling any products for which we may obtain regulatory approval, as well as discovering and developing additional product candidates. We may never succeed in these activities and, even if we do, may never generate revenues that are significant enough to achieve profitability.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 </w:t>
      </w:r>
    </w:p>
    <w:p>
      <w:pPr>
        <w:pStyle w:val="TextBody"/>
        <w:bidi w:val="0"/>
        <w:spacing w:before="0" w:after="240"/>
        <w:jc w:val="both"/>
        <w:rPr>
          <w:rFonts w:ascii="Times New Roman" w:hAnsi="Times New Roman"/>
          <w:sz w:val="20"/>
        </w:rPr>
      </w:pPr>
      <w:r>
        <w:rPr>
          <w:rFonts w:ascii="Times New Roman" w:hAnsi="Times New Roman"/>
          <w:b/>
          <w:i/>
          <w:color w:val="000000"/>
          <w:sz w:val="20"/>
        </w:rPr>
        <w:t>Our operating history may make it difficult for you to evaluate the success of our business to date and to assess our future viability.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an organization, we have not demonstrated an ability to successfully complete clinical trials, obtain regulatory approvals,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operating history makes any assessment of our future success or viability subject to significant uncertainty, particularly with respect to the Acquisition. If we do not address these risks successfully or are unable to transition at some point from a company with a research and development focus to a company capable of supporting commercial activities, then our business will suffer. </w:t>
      </w:r>
    </w:p>
    <w:p>
      <w:pPr>
        <w:pStyle w:val="TextBody"/>
        <w:bidi w:val="0"/>
        <w:spacing w:before="0" w:after="240"/>
        <w:jc w:val="both"/>
        <w:rPr>
          <w:rFonts w:ascii="Times New Roman" w:hAnsi="Times New Roman"/>
          <w:sz w:val="20"/>
        </w:rPr>
      </w:pPr>
      <w:r>
        <w:rPr>
          <w:rFonts w:ascii="Times New Roman" w:hAnsi="Times New Roman"/>
          <w:b/>
          <w:i/>
          <w:color w:val="000000"/>
          <w:sz w:val="20"/>
        </w:rPr>
        <w:t>We will need substantial additional funding to complete the development of our product candidates.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Since our inception, we have used substantial amounts of capital to fund the development of our product candidates and operations. We expect our research and development expenses to increase in connection with our ongoing activities, particularly as our product candidates enter and advance through preclinical studies and clinical trials. We will require substantial additional funding to meet our financial needs and to pursue our business objectives. We will require significant additional capital to, among other things: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complete our ongoing and planned clinical trials, preclinical studies and IND-enabling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initiate, enroll, and complete additional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and obtain regulatory approvals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build and maintain our manufacturing capabilities or enter into third-party manufacturing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and protect our intellectual property portfolio;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fund our general and administrative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if we obtain marketing approval for any of our product candidates, we will incur significant commercialization expenses related to marketing, sales, administration and manufacturing and distribution.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Failure to raise capital as and when needed would have a negative impact on our financial condition and ability to develop our product candidates. Furthermore, we cannot be certain that additional funding will be available on acceptable terms. If we are unable to raise additional capital in sufficient amounts or on terms acceptable to us, we may have to significantly delay, scale back or discontinue the development or commercialization of our product candidates or other research and development initiatives, and any of our current or future license agreements may be terminated if we are unable to meet the payment or other obligations under the agreements.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expect that significant additional capital may be needed in the future to continue our planned operations, including conducting clinical trials, commercialization efforts, research and development activities and costs associated with operating a public company. Until such time, if ever, as we can generate substantial product revenues, we expect to finance our cash needs through any or a combination of securities offerings, debt financings, license and collaboration agreements and research grants. If we raise capital through securities offerings, such sales are likely to result in material dilution to our existing stockholders, and new investors could gain rights, preferences and privileges senior to the holders of our common stock.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stockholders, and may cause the market price of our common stock to decline.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we may seek additional capital due to favorable market conditions or strategic considerations even if we believe that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 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further delay, reduce or altogether cease our research and development programs or future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Our business could be adversely affected by economic downturns, inflation, increases in interest rates, natural disasters, public health crises such as pandemics, political crises, geopolitical events, or other macroeconomic conditions, which have in the past and may in the future negatively impact our business and financial performance.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due to reasons including, among other things, geopolitical conflicts, political changes and trends such as protectionism, economic nationalism resulting in government actions impacting international trade agreements or imposing trade restrictions such as tariffs and retaliatory counter measures.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widespread public health crisis such as a pandemic could result in significant disruption of global financial markets, reducing our ability to access capital, which could negatively affect our liquidity. In addition, a recession or market correction resulting from the effects of public health crises could materially affect our business and the value of our common stock. It may have further negative impacts, such as (a) a global or U.S. recession or other economic crisis; (b) credit and capital markets volatility (and access to these markets, including by our suppliers and customers); (c) manufacturing supply disruption due to travel restrictions or other government actions; (d) disruptions in raw material supply, our manufacturing operations, or in our distribution and supply chain; and (e) our ability to conduct planned clinical trials and commercialization activities. The ultimate impact of a public health crisis is highly uncertain.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Fluctuating interest rates, coupled with reduced government spending and volatility in financial markets, may increase economic uncertainty and affect consumer spending.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financial results have been in the past and may in the future be adversely affected by impairment charges from the recording of goodwill and intangible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financial results have been in the past and may in the future be adversely affected by impairment charges from the recording of goodwill and intangible assets incurred in connection with acquisitions. For example, during the quarter ended June 30, 2024, we incurred a $17.1 million goodwill impairment charge in connection with the EryDel Acquisition. Further, our failure to identify or accurately assess the magnitude of necessary technology investments we assumed as a result of the EryDel Acquisition could result in unexpected litigation or regulatory exposure, unfavorable accounting charges, a loss of anticipated tax benefits or other adverse effects on our business, operating results or financial condition. We recognized a total impairment charge of $67.8 million for indefinite and finite-lived intangible assets for the six months ended June 30, 2026 related to the negative outcome of the NEAT study.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failure to maintain certain tax benefits applicable to Italian biotechnology companies may adversely affect our results of operations, our cash flows and our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benefited from certain tax advantages related to our Italian biotechnology subsidiary, including, for example, the R&amp;D tax credit, which is an Italian tax credit aimed at stimulating research and development. The R&amp;D tax credit can offset payments of certain taxes and contributions (e.g., social contributions, VAT payables, registration fees, income and withholding taxes and all other tax-related items that companies usually pay monthly). For eligible research and development activities, the tax credits were equal to 20% of the costs incurred in fiscal years 2022 and 2021, with a maximum annual amount of $4.4 million (4 million euros). In 2023 the general R&amp;D tax credit rate was decreased to 10% of the eligible expenses for certain activities, and the annual ceiling of the credit increased to $5.5 million (5 million euros). In 2023 to 2025, we generated R&amp;D tax credit under Article 31 of Decree-Law No. 73/2021, for Pharmaceutical/Vaccine R&amp;D tax credit, which has tax credits equal to 20% of cost incurred in the fiscal year and annual ceiling of the credit of $23.4 million (20 million euros). Expenses incurred for years ended December 31, 2025, 2024, and 2023 generated a total tax credit amounting to $1.9 million (1.7 million euros), $1.7 million (1.6 million euros), and $0.9 million (0.8 million euros), respectively. The Italian tax authorities may audit each research and development program in respect of which a R&amp;D tax credit has been claimed and assess whether such program qualifies in its view for the R&amp;D tax credit. The Italian tax authorities may challenge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eligibility for, or our calculation of, certain tax reductions or deductions in respect of our research and development activities. Should the Italian tax authorities be successful, the R&amp;D tax credit, may be reduced, which would have a negative impact on our results of operations and future cash flows. We believe, due to the nature of our business operations, that we will continue to be eligible to receive the R&amp;D tax credit. However, if the Italian government decides to eliminate, or to reduce the scope or the rate of, the R&amp;D tax credit, either of which it could decide to do at any time, our results of operations could be adversely affected.</w:t>
      </w:r>
    </w:p>
    <w:p>
      <w:pPr>
        <w:pStyle w:val="TextBody"/>
        <w:bidi w:val="0"/>
        <w:spacing w:before="0" w:after="240"/>
        <w:jc w:val="both"/>
        <w:rPr>
          <w:rFonts w:ascii="Times New Roman" w:hAnsi="Times New Roman"/>
          <w:sz w:val="20"/>
        </w:rPr>
      </w:pPr>
      <w:r>
        <w:rPr>
          <w:rFonts w:ascii="Times New Roman" w:hAnsi="Times New Roman"/>
          <w:b/>
          <w:color w:val="000000"/>
          <w:sz w:val="20"/>
        </w:rPr>
        <w:t>Risks Related to the Development of our Product Candidates</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Our development efforts are in the early stages. If we are unable to advance LAM-001 or any other product candidates through clinical development, obtain regulatory approval and ultimately commercialize our product candidates or experience significant delays in doing so, our business will be materially harmed.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is no assurance that any clinical trials of LAM-001, or any other product candidates we may develop will be successful or will generate positive clinical data and we may not receive marketing approval from the FDA or other regulatory agencies for any such product candidate. LAM-001 is in the early stage of our development efforts, and if it, or any product candidate that we may develop, encounters safety or efficacy problems, development delays, regulatory issues or other problems, our development plans and forecasted timelines and business could be significantly harmed. We initiated a Phase 2b clinical trial of LAM-001 in PH-ILD in July 2026. Additionally, an investigator-initiated Phase 2 clinical trial of LAM-001 in BOS is being conducted, and we expect to initiate a Phase 2 clinical trial of LAM-001 in SAPH in late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Biopharmaceutical development is a long, expensive and uncertain process, and delay or failure can occur at any stage of any of our clinical trials. Failure to obtain regulatory approval for our product candidates will prevent us from commercializing and marketing our product candidates. The success in the development of our product candidates will depend on many factors, including: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initiating, enrolling, and completing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submission of INDs for and receipt of allowance to proceed with our clinical trials or other future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completing preclinical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positive results from our preclinical studies and clinical trials that support a demonstration of efficacy, safety, and durability of effect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receiving approvals for commercialization of our product candidates from applicable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sales, marketing and distribution capabilities and successfully launching commercial sales of our products, if and when approved, whether alone or in collaboration with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acceptance of our products, if and when approved, by patients, the medical community and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manufacturing our product candidates at an acceptable cost and quality;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and growing an organization of scientists, medical professionals and business people who can develop and commercialize our product candidates and technology.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could materially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0"/>
        </w:rPr>
        <w:t>The regulatory approval processes of the FDA and comparable foreign authorities are lengthy, time-consuming and inherently unpredictable, and if we are ultimately unable to obtain regulatory approval for LAM-001 or any other product candidate we may develop, our business will be substantially harmed.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do not have any products that have gained regulatory approval. Our business is substantially dependent on our ability to obtain and maintain regulatory approval for our development products, in particular LAM-001. We cannot commercialize product candidates in the United States without first obtaining regulatory approval for the product from the FDA.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are adequate to ensure sufficient product quality and control with respect to such product candidate. Prior to seeking approval for any of our product candidates, we will need to confer with the FDA and other regulatory authorities regarding the design of our clinical trials, the type and amount of clinical data necessary, the Chemistry, Manufacturing and Controls, or CMC, requirements to seek and gain approval for our product candidates.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our existing product candidates or any future product candidates will ever obtain regulatory approval.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product candidates could fail to receive regulatory approval from the FDA or other comparable regulatory authorities for many reasons, including: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disagreement with the design, protocol or conduct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demonstrate that a product candidate is safe and effective for its proposed 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of clinical trials to meet the level of statistical significance required for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demonstrate that a product candidate’s clinical and other benefits outweigh its safety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disagreement with our interpretation of data from preclinical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insufficiency of data collected from clinical trials of our product candidates to support the submission and filing of an NDA or other submission or to obtain regulatory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obtain approval of the manufacturing processes, or failure to obtain such approvals with respect to our facilities or the facilities of our contract manufacturing vendors;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deficiencies in our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that our manufacturing processes can be consistently scaled, validated and controlled to produce product candidates that meet applicable identity, strength, quality, purity and potency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analytical methods, release testing, reference standards or stability data may be insufficient to support product specifications, shelf life, storage conditions or commercial manufacturing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facilities operated by us or our third-party manufacturers may fail to satisfy current good manufacturing practice, or cGMP, requirements or may be subject to inspectional observations, warning letters, import alerts or other regulatory actions that could delay or prevent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raw materials, suppliers, manufacturing sites, equipment, processes or specifications may require additional comparability, validation or bridging data and could result in delay in regulatory review 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approval policies or regulations that render our preclinical and clinical data insufficient for approval;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lack of adequate funding to complete a clinical trial in a manner that is satisfactory to the applicable regulatory authority.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Many of these risks are beyond our control, including the risks related to clinical development. If we are unable to develop, receive regulatory approval for, or successfully commercialize our product candidates, or if we experience delays as a result of any of these risks or otherwise, our business could be materially harmed.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FDA or a comparable regulatory authority may require more information, including additional preclinical or clinical data to support approval, including data that would require us to perform additional clinical trials or modify our manufacturing processes, controls, specifications, labeling, instructions or packaging, which may delay or prevent approval and our commercialization plans, or we may decide to abandon the development program. Further, if we change the primary or secondary endpoints in any of our clinical trials, either by our own choice or at the request of the FDA or a comparable regulatory authority, our development plans could be delayed, our costs could increase and our business could be materially harmed. If we change our manufacturing processes, we may be required to conduct additional clinical trials or other studies, which also could delay or prevent approval of our product candidates. If we were to obtain approval, regulatory authorities may approve any of our product candidates for fewer indications than we request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candidate or generate revenues attributable to that product candidate. Also, any regulatory approval of our current or future product candidates, once obtained, may be withdrawn.</w:t>
      </w:r>
    </w:p>
    <w:p>
      <w:pPr>
        <w:pStyle w:val="TextBody"/>
        <w:bidi w:val="0"/>
        <w:spacing w:before="0" w:after="240"/>
        <w:jc w:val="both"/>
        <w:rPr>
          <w:rFonts w:ascii="Times New Roman" w:hAnsi="Times New Roman"/>
          <w:sz w:val="20"/>
        </w:rPr>
      </w:pPr>
      <w:r>
        <w:rPr>
          <w:rFonts w:ascii="Times New Roman" w:hAnsi="Times New Roman"/>
          <w:b/>
          <w:i/>
          <w:color w:val="000000"/>
          <w:sz w:val="20"/>
        </w:rPr>
        <w:t>Our business is highly dependent on the success of LAM-001. LAM-001 will require additional clinical and manufacturing development before we may be able to seek regulatory approval for and launch a product commercially and we may not be successful in our efforts.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currently have no products that are approved for commercial sale and may never be able to develop marketable products. We are devoting substantially all our resources to the development of LAM-001 across our three target indications of PH-ILD, BOS (in post-lung transplant patients) and SAPH. Our existing clinical data for LAM-001 in PH-ILD is derived from a completed, open-label Phase 2a clinical trial with a limited number of evaluable patients. In addition, an investigator-initiated double-blind Phase 2 clinical trial in BOS and a company-sponsored double-blind Phase 2b trial in PH-ILD are ongoing, each with a limited number of evaluable patients. If LAM-001, across the various target indications, encounters safety or efficacy problems, development delays, regulatory issues or other problems, our development plans and forecasted timelines and business could be significantly harmed. Because substantially all of our resources are concentrated on a single product candidate, any failure or significant delay in LAM-001’s development would have a disproportionate impact on our business, financial condition and prospects, and we do not have other clinical-stage programs that could offset such a setback.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cannot provide you with any assurance that we will be able to successfully advance LAM-001 or any additional product candidates through the development process in any particular target indication. Our research programs may initially show promise in identifying potential product candidates, yet fail to yield product candidates for clinical development or commercialization for many reasons, including the following: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product candidates may not succeed in preclinical or clinical testing;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for a product candidate may change during our development program so that the continued development of that product candidate is no longer reasonable;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If any of these events occur, we may be forced to abandon our development efforts for a program or programs, or we may not be able to identify, discover, develop, or commercialize additional product candidates, which could have a material adverse effect on our business and could potentially cause us to cease operations.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do not successfully develop and commercialize product candidates or collaborate with others to do so, we will not be able to obtain product revenue in future periods, which could significantly harm our financial position and adversely affect the trading price of our common stock. </w:t>
      </w:r>
    </w:p>
    <w:p>
      <w:pPr>
        <w:pStyle w:val="TextBody"/>
        <w:bidi w:val="0"/>
        <w:spacing w:before="0" w:after="240"/>
        <w:jc w:val="both"/>
        <w:rPr>
          <w:rFonts w:ascii="Times New Roman" w:hAnsi="Times New Roman"/>
          <w:sz w:val="20"/>
        </w:rPr>
      </w:pPr>
      <w:r>
        <w:rPr>
          <w:rFonts w:ascii="Times New Roman" w:hAnsi="Times New Roman"/>
          <w:b/>
          <w:i/>
          <w:color w:val="000000"/>
          <w:sz w:val="20"/>
        </w:rPr>
        <w:t>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Before obtaining regulatory approvals for the commercial sale of our product candidates, we must demonstrate through lengthy, complex and expensive preclinical testing and clinical trials that our product candidates are safe, of sufficient purity and effective for use in each target indication, and failures can occur at any stage of testing. Preclinical studies and clinical trials often fail to demonstrate safety or efficacy of the product candidate studied for the target indication. A failure of one or more clinical trials can occur at any stage of testing. Any side effects or patient deaths could affect the development of our product candidates, even if deemed to not be drug related.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such adverse events occur, our clinical trials could be suspended or terminated. If we cannot demonstrate that any adverse events were not caused by the drug, the FDA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may experience numerous unforeseen events prior to, during, or as a result of, clinical trials that could delay or prevent our ability to receive marketing approval or commercialize any of our product candidates, including: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FDA or other comparable regulatory authority may disagree as to the number, design or implementation of our clinical trials, or may not interpret the results from clinical trials as we do;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or institutional review boards may not authorize us or our investigators to commence a clinical trial or conduct a clinical trial at a prospective trial site;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reach agreement on acceptable terms with prospective clinical trial sites, the terms of which can be subject to extensive negotiation and may vary significantly among different clinical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trials of our product candidates may produce negative or inconclusive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decide, or regulators may require us, to conduct additional preclinical studies or clinical trials or abandon our product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clinical trials of our product candidates may be greater than we anticipate;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comparable regulatory authorities may fail to approve our manufacturing processes or facilities, or the facilities of our contract manufacturing vendors;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may be insufficient or inadequate;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deficiencies in our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that our manufacturing processes can be consistently scaled, validated and controlled to produce product candidates that meet applicable identity, strength, quality, purity and potency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analytical methods, release testing, reference standards or stability data may be insufficient to support product specifications, shelf life, storage conditions or commercial manufacturing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facilities operated by us or our third-party manufacturers may fail to satisfy current good manufacturing practice, or cGMP, requirements or may be subject to inspectional observations, warning letters, import alerts or other regulatory actions that could delay or prevent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raw materials, suppliers, manufacturing sites, equipment, processes or specifications may require additional comparability, validation or bridging data and could result in delay in regulatory review 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causing us or our investigators, regulators or institutional review boards to suspend or terminate the clinical trials;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approval policies or regulations of the FDA or other comparable regulatory authorities may significantly change in a manner rendering our clinical data insufficient for approval.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To the extent that the results of the trials are not satisfactory for the FDA or regulatory authorities in other countries or jurisdictions to approve our NDAs or other comparable applications, the commercialization of our product candidates may be significantly delayed, or we may be required to expend significant additional resources, which may not be available to us, to conduct additional trials in support of potential approval of our product candidates. </w:t>
      </w:r>
    </w:p>
    <w:p>
      <w:pPr>
        <w:pStyle w:val="TextBody"/>
        <w:bidi w:val="0"/>
        <w:spacing w:before="0" w:after="240"/>
        <w:jc w:val="both"/>
        <w:rPr>
          <w:rFonts w:ascii="Times New Roman" w:hAnsi="Times New Roman"/>
          <w:sz w:val="20"/>
        </w:rPr>
      </w:pPr>
      <w:r>
        <w:rPr>
          <w:rFonts w:ascii="Times New Roman" w:hAnsi="Times New Roman"/>
          <w:b/>
          <w:i/>
          <w:color w:val="000000"/>
          <w:sz w:val="20"/>
        </w:rPr>
        <w:t>Clinical trials are difficult to design and implement, can be lengthy and expensive, involve uncertain outcomes and may not ultimately be successful.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It is impossible to predict when or if any of our current or future product candidates will prove effective and safe in humans or will receive regulatory approval. Before obtaining marketing approval from regulatory authorities for the sale of any product candidate, we must complete preclinical studies and then conduct extensive clinical trials to demonstrate the safety and efficacy of our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There is a high failure rate for serious pulmonary disorder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Negative outcomes or data integrity failures by competitors in the serious pulmonary disorder space could adversely affect our business, reputation, and the regulatory and commercial environment in which we operate.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clinical and commercial success of LAM-001 may be influenced not only by our own data and results, but also by the outcomes and perceived integrity of data generated by competitors operating in the same therapeutic area. If a competitor’s product or product candidate is withdrawn from the market, subject to a safety recall, or associated with serious adverse events, whether in clinical trials or following regulatory approval, patients, physicians, payers, and the broader medical community may develop a generalized skepticism or loss of confidence in the underlying treatment modality or target mechanism. This loss of confidence could reduce patient enrollment in our clinical trials, dampen physician adoption of our products, or cause payers to impose more restrictive coverage and reimbursement policies, regardless of whether our products share the specific deficiencies identified in the competitor’s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no control over the research, development, manufacturing, or commercial practices of our competitors in the respiratory disease space, and we cannot predict whether their data or products will meet the standards expected by regulators, the medical community, or the public. Any of the foregoing events could have a material adverse effect on our business, financial condition, results of operations, and prospects.</w:t>
      </w:r>
    </w:p>
    <w:p>
      <w:pPr>
        <w:pStyle w:val="TextBody"/>
        <w:bidi w:val="0"/>
        <w:spacing w:before="0" w:after="240"/>
        <w:jc w:val="both"/>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have a greater likelihood of success.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For example, we are currently focusing the majority of our efforts on the development of LAM-001, and specifically for the clinical indications of PH-ILD, BOS and SAPH.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Our spending on current and future research and development programs and product candidates for specific indications may not yield any commercially viable products. </w:t>
      </w:r>
    </w:p>
    <w:p>
      <w:pPr>
        <w:pStyle w:val="TextBody"/>
        <w:bidi w:val="0"/>
        <w:spacing w:before="0" w:after="240"/>
        <w:jc w:val="both"/>
        <w:rPr>
          <w:rFonts w:ascii="Times New Roman" w:hAnsi="Times New Roman"/>
          <w:sz w:val="20"/>
        </w:rPr>
      </w:pPr>
      <w:r>
        <w:rPr>
          <w:rFonts w:ascii="Times New Roman" w:hAnsi="Times New Roman"/>
          <w:b/>
          <w:i/>
          <w:color w:val="000000"/>
          <w:sz w:val="20"/>
        </w:rPr>
        <w:t>Success in preclinical studies or clinical trials may not be predictive of results in future clinical trials.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Results from preclinical studies and early clinical trials may not be predictive of the success of later clinical trials, and interim results of clinical trials are not necessarily predictive of final results. We do not know whether our candidates will be effective for the intended indications or safe in humans. Our product candidates may fail to show the desired safety and efficacy in preclinical or clinical development despite positive results observed in early preclinical studies or having successfully advanced through initial clinical trials. Any failure to establish sufficient efficacy and safety could cause us to abandon clinical development of our product candidates. Further, our clinical trials to date have involved small patient populations. Because of the small sample sizes, the results of these trials may not be indicative of results of future clinical trials.</w:t>
      </w:r>
    </w:p>
    <w:p>
      <w:pPr>
        <w:pStyle w:val="TextBody"/>
        <w:bidi w:val="0"/>
        <w:spacing w:before="0" w:after="240"/>
        <w:jc w:val="both"/>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patients are enrolled and additional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expect to publish from time to time interim topline or preliminary data from our clinical trials. Interim data from clinical trials that we may complete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 result, interim and preliminary data should be viewed with caution until the final data are available. From time to time, we may also disclose interim data from our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reputation and business prospects. Further, disclosure of interim data by us or by our competitors could result in volatility in the price of our common stock.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Since the number of patients that have been and will be dosed in our completed and ongoing clinical trials of LAM-001 is small, the results from such clinical trials may be less reliable than or may not be predictive of results achieved in larger clinical trials, which may hinder our efforts to obtain regulatory approval for LAM-001.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preliminary results of clinical trials with smaller sample sizes can be disproportionately influenced by various biases associated with the conduct of small clinical trials, such as the potential failure of the smaller sample size to accurately depict the characteristics of the broader patient population, which limits the ability to generalize the results across a broader community, thus making the clinical trial results less reliable than clinical trials with a larger number of patients. Our completed Phase 1 clinical trial of LAM-001 enrolled seven patients in the initial dosing period, with only three patients continuing through an optional 84-day extension period. Our Phase 2a clinical trial in PH, PH-ILD and pulmonary sarcoidosis enrolled ten patients, of whom only six completed the full 24-week trial period. The ongoing Phase 2 clinical trial of LAM-001 in BOS has enrolled 19 patients. The small number of patients enrolled in each of these trials limits the statistical power of our results and increases the potential for any individual patient outcome to disproportionately influence our overall findings. As a result, there may be less certainty that LAM-001 would achieve a statistically significant effect in any future clinical trials.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Of particular note, our clinical thesis for evaluating LAM-001 as a potential treatment for SAPH is supported in part by observations from a single patient with sarcoidosis-associated pulmonary hypertension enrolled in our Phase 2a clinical trial. We intend to initiate a Phase 2 clinical trial specifically to evaluate LAM-001 as a treatment for SAPH; however, there can be no assurance that the results observed in this single patient will be replicated in a broader patient population. In addition, the ongoing Phase 2 clinical trial of LAM-001 for BOS is an investigator-sponsored trial, over which we have limited control with respect to trial conduct, protocol amendments, data access and publication decisions. We may rely in part on the results of this investigator-sponsored trial to inform our future clinical development decisions and allocation of resources for LAM-001 in BOS; however, if those results are not indicative of data that would be generated in a larger, company-sponsored clinical trial, our assumptions in support of our clinical development activities may prove to be inaccurate and the FDA or other comparable regulatory authorities may require us to conduct additional and larger clinical trials than we currently plan.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we conduct any future clinical trials of LAM-001 or our other product candidates, we may not achieve a positive or statistically significant result or the same level of statistical significance, if any, that we might have anticipated based on prior results from our completed or ongoing trials. Such failure could hinder our efforts to obtain regulatory approval for LAM-001 or our other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 comparisons we present regarding LAM-001’s safety and efficacy profile relative to oral rapamycin are subject to significant limitations and may not be predictive of LAM-001’s relative performance in future controlled studies.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Herein, and in our other public communications, we present data comparing LAM-001’s pharmacokinetics, mechanism of action and emerging clinical profile to published data of oral rapamycin. These comparisons are derived from different preclinical studies and clinical trials of both LAM-001 and oral rapamycin conducted at different times, with differences in trial design, patient populations, disease settings, dosing regimens, endpoints, sample sizes, follow-up periods, and adverse event grading criteria. No head-to-head clinical trials have been conducted comparing LAM-001 to rapamycin, and cross-trial comparisons are inherently limited and may not accurately reflect the relative safety or efficacy of the agents being compared.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Physicians, patients, investors, and regulatory authorities may draw conclusions from these cross-trial comparisons that are not supported by the underlying data, or may discount LAM-001’s potential based on the inherent limitations of such comparisons. If LAM-001’s clinical profile does not compare as favorably to oral rapamycin as our cross-trial analyses suggest, the commercial prospects and perceived differentiation of LAM-001 could be materially diminished.</w:t>
      </w:r>
    </w:p>
    <w:p>
      <w:pPr>
        <w:pStyle w:val="TextBody"/>
        <w:bidi w:val="0"/>
        <w:spacing w:before="0" w:after="240"/>
        <w:jc w:val="left"/>
        <w:rPr>
          <w:rFonts w:ascii="Times New Roman" w:hAnsi="Times New Roman"/>
          <w:sz w:val="20"/>
        </w:rPr>
      </w:pPr>
      <w:r>
        <w:rPr>
          <w:rFonts w:ascii="Times New Roman" w:hAnsi="Times New Roman"/>
          <w:b/>
          <w:i/>
          <w:color w:val="000000"/>
          <w:sz w:val="20"/>
        </w:rPr>
        <w:t>We depend on timely enrollment of patients in our clinical trials for our product candidates. 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patients with the disease or condition being studied;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perceived risks and benefits of the product candidate in the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any risks associated with our competitors’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size and nature of the patient population required for analysis of the trial’s primary endpoints;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design of the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competing clinical trials for similar therapies or other new therapeutics;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patient consents;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risk that patients enrolled in clinical trials will drop out of the clinical trials before completion of their treatment;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factors we may not be able to control, such as pandemics, that may limit patients, principal investigators or staff or clinical sites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activating clinical trial sites, including delays related to site contracting, budgeting, institutional review board or ethics committee approvals, training or initiation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 screen failure rates, including as a result of narrow eligibility criteria, required diagnostic confirmation or other protocol-specific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approved therapies, standard-of-care alternatives or other treatment options that may reduce patients’ willingness to enroll in our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burden on patients participating in our clinical trials, including visit frequency, travel requirements, monitoring obligations, procedures, follow-up requirements or other protocol-related demands;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specialized testing, biomarkers or diagnostic tools needed to identify or confirm eligible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enroll a sufficiently diverse and representative patient populations across demographics, disease characteristics or geographies to support regulatory review;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retention, protocol adherence and timely completion of trial visits and procedures, including missed visits, noncompliance or withdrawal of consent;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site staffing constraints, investigator turnover or limited clinical trial infrastructure.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In addition, because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the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projections of addressable market opportunity for LAM-001 are based on estimates and assumptions that may prove incorrect, and the actual commercial opportunity may be substantially smaller than we expect.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made internal estimates of the total addressable market for LAM-001 and other product candidates targeting the mTOR pathway, including estimates of patient populations, treatment penetration rates, and potential pricing. These estimates are based on a variety of sources, including published scientific literature, epidemiological data, market research and our own calculations and assumptions about competitive dynamics. However, these estimates are inherently uncertain and may prove to be materially incorrect.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actual addressable market for LAM-001 may be smaller than we estimate for several reasons, including: the subset of patients who meet the clinical criteria likely required for treatment with LAM-001 may be smaller than what we project; physicians may not adopt LAM-001 over established therapies; payors may restrict reimbursement; LAM-001 may initially be approved only for later-line treatment settings with smaller patient populations; competing products may capture significant market share before LAM-001 reaches the market; and advances in respiratory disease therapies may further segment the patient population. If the actual market opportunity for LAM-001 is materially smaller than our estimates, we may not be able to generate sufficient revenue to justify our development investment, which could have a material adverse effect on our business and financial condition.</w:t>
      </w:r>
    </w:p>
    <w:p>
      <w:pPr>
        <w:pStyle w:val="TextBody"/>
        <w:bidi w:val="0"/>
        <w:spacing w:before="0" w:after="240"/>
        <w:jc w:val="left"/>
        <w:rPr>
          <w:rFonts w:ascii="Times New Roman" w:hAnsi="Times New Roman"/>
          <w:sz w:val="20"/>
        </w:rPr>
      </w:pPr>
      <w:r>
        <w:rPr>
          <w:rFonts w:ascii="Times New Roman" w:hAnsi="Times New Roman"/>
          <w:b/>
          <w:i/>
          <w:color w:val="000000"/>
          <w:sz w:val="20"/>
        </w:rPr>
        <w:t>Adverse side effects or other safety risks associated with our product candidates could delay or preclude approval, cause us to suspend or discontinue clinical trials, cause us to abandon product candidates, could limit the commercial profile of an approved label, or could result in significant negative consequences following any potential marketing approval.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clinical trials will include patients suffering from serious pulmonary disorders, mainly PH-ILD, BOS and SAPH, who are very sick and whose health is deteriorating. It is possible that some of these patients may experience side effects during our clinical trials. Further, systemic mTOR inhibitors, including approved rapalogs such as everolimus and temsirolimus, have been associated with numerous adverse events, including opportunistic infections, urinary tract infection, upper respiratory tract infection, nasopharyngitis, pneumonia, pneumocystis carinii pneumonia, pyelonephritis, sepsis, herpes simplex infection, herpes zoster, BK virus-associated nephropathy, progressive multifocal leukoencephalopathy, latent viral infection reactivation, tuberculosis, basal cell carcinoma, squamous cell carcinoma, melanoma, lymphoma, neuroendocrine carcinoma of the skin (Merkel cell carcinoma); hypersensitivity reactions: anaphylactic/anaphylactoid reactions, hypersensitivity vasculitis; hypertension; peripheral edema; angioedema edema; fluid accumulation; ascites; pericardial effusion; tachycardia; venous thromboembolism (including pulmonary embolism, deep venous thrombosis); hemolytic uremic syndrome/thrombotic thrombocytopenic purpura/thrombotic microangiopathy HUS/TTP/TMA; interstitial lung disease (including pneumonitis, bronchiolitis obliterans organizing pneumonia, and pulmonary fibrosis); non-infectious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pneumonitis; bronchial anastomotic dehiscence; increased creatinine; decline in renal function; proteinuria; nephrotic syndrome; focal segmental glomerulosclerosis; hypercholesterolemia: hypertriglyceridemia, hyperlipidemia; diabetes mellitus; increased AST/SGOT; increased ALT/SGPT; hyperglycemia; hypokalemia; anemia; leukopenia; neutropenia; thrombocytopenia; pancytopenia; arthralgia; myalgia; bone necrosis; hepatotoxicity (including fatal hepatic necrosis); hepatic artery thrombosis; lymphocele; lymphedema; posterior reversible encephalopathy syndrome; ovarian cysts; menstrual disorders (including amenorrhea, menorrhagia); azoospermia; increased lactate dehydrogenase; headache; dizziness; fever; pain; abdominal pain; constipation; diarrhea; nausea; stomatitis; acne; rash; exfoliative dermatitis; abnormal/impaired wound healing. While we believe the inhaled route of administration of LAM-001 may reduce systemic exposure relative to orally administered rapamycin, we cannot be certain that toxicity will not occur. This risk may be of particular significance in our target patient populations of patients with PH-ILD, BOS and SAPH whose underlying pulmonary conditions may make them more susceptible to mTOR-associated toxicities. If these or other adverse effects occur with unacceptable frequency or severity in our clinical trials, our ability to develop and commercialize LAM-001 could be materially impaired. Further, patients may die during our clinical trials for various reasons. The causes of death could include receiving our product candidates, because the patient’s disease is too advanced or because the patient experiences medical problems that may not be related to our product candidate. Even if the patient deaths are not related to our product candidate, the deaths could affect perceptions regarding the safety of our product candidates. Patient deaths and severe side effects caused by our product candidates, or by products or product candidates of other companies that are thought to have similarities with our product candidates, could result in the delay, suspension, clinical hold or termination of our clinical trials, by the FDA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revenues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a number of potentially significant negative consequences could result, including: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regulatory authorities may withdraw or limit their approval of such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“boxed” warning or a contraindication;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create a Risk Evaluation and Mitigation Strategy, or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decide to remove such products from the marketplace;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Any of the foregoing could prevent us from achieving or maintaining market acceptance of the particular product candidate, if approved, and could significantly harm our business, results of operations, and prospects.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If the FDA does not conclude that LAM-001 satisfies the requirements for the Section 505(b)(2) regulatory approval pathway, or if the requirements under Section 505(b)(2) are not as we expect, the approval pathway for LAM-001 will likely take significantly longer, cost significantly more and entail significantly greater complications and risks than anticipated and may not be successful.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intend to seek FDA approval of LAM-001 through the Section 505(b)(2) regulatory approval pathway. The Drug Price Competition and Patent Term Restoration Act of 1984, or the Hatch-Waxman Amendments,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allows an NDA we submit to FDA to rely in part on data in the public domain or the FDA's prior conclusions regarding the safety and effectiveness of approved compounds, which could expedite the development program for LAM-001 by potentially decreasing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amount of clinical data that we would need to generate in order to obtain FDA approval. Specifically, we intend to rely on the FDA's prior conclusions regarding the safety and effectiveness of sirolimus (rapamycin), as reflected in the FDA's prior approvals of Rapamune for kidney transplant rejection prevention and lymphangioleiomyomatosis, as well as on published scientific literature regarding the use of rapamycin in pulmonary disease. An applicant seeking approval under the 505(b)(2) pathway must nonetheless submit sufficient data to support approval of its product, including data needed to establish a scientific bridge between the applicant's product and the data or findings on which it seeks to rely, and the type and amount of additional data required depend on the nature of the proposed product and the differences between that product and the reference product or underlying data.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can be no assurance that the FDA will agree that an adequate scientific bridge has been established between LAM-001 and the approved oral formulations of rapamycin on which we intend to rely. LAM-001 is a novel inhaled dry powder formulation of rapamycin specifically designed to achieve high localized lung concentrations while minimizing systemic exposure, which has a pharmacokinetic profile that differs materially from that of approved oral rapamycin, which achieves therapeutic effect through systemic blood concentrations. The FDA's prior conclusions regarding the safety and effectiveness of rapamycin were made in the context of its systemic administration, and the FDA may determine that those conclusions cannot be meaningfully extended to an inhaled formulation with a distinct pharmacokinetic profile without additional clinical data. The indications we are seeking also differ from the indications for which oral rapamycin is currently approved, which may further limit our ability to rely on the FDA's prior findings and require us to generate more original clinical data than the 505(b)(2) pathway would otherwise necessitate. If the FDA does not allow us to pursue the Section 505(b)(2) regulatory pathway as anticipated, or requires us to generate data beyond what we currently plan to generate in order to establish an adequate scientific bridge, we may need to conduct additional clinical trials, provide additional data and information and meet additional standards for regulatory approval. If this were to occur, the time and financial resources required to obtain FDA approval would likely substantially increase. Moreover, inability to pursue the Section 505(b)(2) regulatory pathway could result in new competitive products reaching the market more quickly than LAM-001, which would likely materially adversely impact our competitive position and prospects.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notwithstanding the approval of a number of products by the FDA under Section 505(b)(2), certain brand-name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are targeting serious pulmonary disorders, which presents additional risks with respect to clinical development, regulatory approvals and commercialization of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approach of targeting serious pulmonary disorders such as PH-ILD, BOS and SAPH presents risks related to the clinical development, regulatory approval and commercialization of our product candidates, including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have difficulty establishing safety and efficacy in these types of patient populations given the severe and rapidly progressing nature of the diseases we are targeting;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respect to BOS and SAPH, the underlying etiologies of the diseases are incompletely understood, which may impact our ability to design adequate and well controlled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face challenges with respect to patient enrollment in our clinical trials, as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small sample sizes in our clinical trials suggest that we face the risk of substantial variability in the results of our trials, and so the outcome of nonclinical testing and early clinical trials is less likely to be predictive of the success of later-stage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approval of our product candidates, if any, pricing and level of reimbursement may not be sufficient to offset costs of development, manufacturing, marketing, and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difficulty selecting, validating, and/or achieving clinically meaningful endpoints that are acceptable to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have difficulty in accurately diagnosing, stratifying or confirming patients with PH-ILD, BOS or SAPH which could adversely affect enrollment, clinical trial design and interpretation of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larger, longer, additional or different clinical trials than we anticipate, including studies in specific subpopulations or trials designed to address particular safety, efficacy or dosing questions;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size is a significant variable in the disease indications we are targeting.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Our projections of both the number of people who have these diseases, as well as the subset of people with these diseases who have the potential to benefit from treatment with product candidates we may develop, are based on estimates. These estimates have been derived from a variety of sources, including scientific literature, patient advocacy groups or market research. These estimates may prove to be incorrect and new studies may change the estimated incidence or prevalence of these diseases. The number of patients in the United States, Europe and elsewhere may turn out to be lower than expected, and patients may be more difficult to identify and access than our estimates contemplate.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Adverse developments with respect to any of the foregoing could result in significant changes in our business plan and have a material adverse effect on our business, financial condition, results of operations, and prospects.</w:t>
      </w:r>
    </w:p>
    <w:p>
      <w:pPr>
        <w:pStyle w:val="TextBody"/>
        <w:bidi w:val="0"/>
        <w:spacing w:before="0" w:after="240"/>
        <w:jc w:val="left"/>
        <w:rPr>
          <w:rFonts w:ascii="Times New Roman" w:hAnsi="Times New Roman"/>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or any future collaboration partners from obtaining approvals for the commercialization of any other product candidate we develop.</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marketing approvals and expect to rely on third-party contract research organizations, or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any product candidates we may develop, the commercial prospects for those product candidates may be harmed, and our ability to generate revenues may be materially impaired.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Medical devices necessary for the administration of LAM-001 are subject to regulatory requirements that we must satisfy as part of our NDA and any post-approval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LAM-001 is administered using a dry powder inhaler, which is manufactured by a third party. LAM-001, if approved, will be regulated by the FDA as a combination product, and our NDA must include data sufficient to demonstrate that the LAM-001 drug-device combination performs safely and as intended for use by our target patient populations. While the inhaler is an established device currently used to deliver multiple approved inhaled therapeutics, we must independently validate the specific drug-device combination as part of our NDA submission. Regulatory authorities may require user-factor studies as a part of our NDA submission.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FDA will require human factors and usability testing to demonstrate that patients with PH-ILD, BOS and SAPH can safely and effectively use the inhaler to administer LAM-001. If human factors testing reveals usability deficiencies, we may be required to modify the device, develop additional labeling or training tools, or conduct additional studies before the FDA will approve our NDA, any of which could delay our development timeline and increase our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following any approval of LAM-001, changes to the device, whether initiated by us, the manufacturer or required by a regulatory authority, may require us to make supplemental NDA filings and to conduct additional validation studies before the modified drug-device combination may be used. Any failure to obtain timely regulatory clearance for such changes, or any quality, safety, or performance issue identified with respect to the inhaler following approval, could limit our ability to supply LAM-001 to patients and could have a material adverse effect on our business, financial condition, results of operations and prospects.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have received orphan drug designation in the United States for LAM-001 in BOS, sarcoidosis, pulmonary arterial hypertension and lymphangioleiomyomatosis and in the European Union for LAM-001 in BOS and lymphangioleiomyomatosis, and we may seek orphan drug designation in other indications or for other product candidates in the future. We may be unsuccessful, or may be unable to maintain the benefits associated with orphan drug designation, including the potential for market exclusivity, for product candidates for which we obtain orphan drug designation.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European Union,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European Union when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application is made, or (b) the product without the benefits derived from orphan status, would not generate sufficient return in the European Union to justify the necessary investment in developing the medicinal product; and (iii) there exists no satisfactory authorized method of diagnosis, prevention, or treatment of the condition that has been authorized in the European Union, or even if such method exists, the product will be of significant benefit to those affected by that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Orphan medicinal product designation entitles an applicant to incentives such as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 Orphan medicinal product designation does not convey any advantage in, or shorten the duration of, the regulatory review and approval process. We have obtained orphan drug designation in the United States for LAM-001 for the treatment of BOS, sarcoidosis, pulmonary arterial hypertension and lymphangioleiomyomatosis. In addition, we have received orphan drug designation in the European Union for LAM-001 the treatment of BOS and lymphangioleiomyomatosis.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or comparable foreign regulatory authorities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pStyle w:val="TextBody"/>
        <w:bidi w:val="0"/>
        <w:spacing w:before="0" w:after="240"/>
        <w:jc w:val="both"/>
        <w:rPr>
          <w:rFonts w:ascii="Times New Roman" w:hAnsi="Times New Roman"/>
          <w:sz w:val="20"/>
        </w:rPr>
      </w:pPr>
      <w:r>
        <w:rPr>
          <w:rFonts w:ascii="Times New Roman" w:hAnsi="Times New Roman"/>
          <w:b/>
          <w:color w:val="000000"/>
          <w:sz w:val="20"/>
        </w:rPr>
        <w:t>Risks Related to Development and our Dependence on Third Parties</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currently rely, and expect to continue to rely, on third parties to conduct, supervise, and monitor our preclinical studies and clinical trials. If those third parties do not perform satisfactorily, including failing to meet deadlines for the completion of such clinical trials or failing to comply with regulatory requirements, we may be unable to obtain regulatory approval for our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currently rely on third-party CROs, academic institutions, study sites, clinical investigators and others to conduct, supervise, and monitor our preclinical studies and clinical trials. We expect to continue to rely on third parties, such as CROs, clinical data management organizations, medical institutions, and clinical investigators, to conduct our preclinical studies and clinical trials. Although we currently have or plan to enter into agreements governing the activities of these third parties, we have limited influence over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develop LAM-001 and other current and future product candidates, or we may not obtain marketing approval for, or commercialize, LAM-001 or our other current and future product candidates in a timely manner or at 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Moreover, these agreements might terminate for a variety of reasons, including a failure to perform by the third parties. If we need to enter into alternative arrangements our product development activities could be delayed and our business, financial condition, results of operations, stock price and prospects may be materially harmed.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the FDA’s Good Laboratory Practice, or GLP, regulations,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the data generated in our trials may be deemed unreliable and the FDA or comparable foreign regulatory authorities may require us to perform additional studies.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cannot assure you that upon inspection by a given regulatory authority, such regulatory authority will determine that any of our clinical trials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the development of our product candidates. If these third parties do not successfully carry out their contractual duties, meet expected deadlines or conduct our preclinical studies or clinical trials in accordance with regulatory requirements or our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current and future product candidates; we may not be able to, or may be delayed in our efforts to, successfully commercialize current and future product candidates; or we or they may be subject to regulatory enforcement actions. As a result, our results of operations and the commercial prospects for current and future product candidates may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may enter into collaborations for our current or future product candidates or technologies. We cannot control the timing or quantity of resources that our existing or future collaborators will dedicate to research, preclinical and clinical development.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collaborators may not perform their obligations according to our expectations or standards of quality. Our collaborators could terminate our existing agreements for a number of reasons, many of which may be beyond our control.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will also rely on other third parties to store and distribute our product candidates for the clinical trials that we plan to conduct. Any performance failure on the part of our distributors could delay clinical development, marketing approval, or commercialization of current and future product candidates, which could result in additional losses and deprive us of potential product revenue.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currently rely on CMOs for the production of LAM-001, including for the supply of rapamycin, and we expect to rely on CMOs for our other product candidates.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LAM-001 is an inhaled dry powder formulation of rapamycin, any disruption to the supply of rapamycin could halt our entire development program. The need to maintain a supply chain for rapamycin increases our operational complexity and our vulnerability to supply disruptions. We may not be able to secure a backup supplier on commercially reasonable terms. Any significant delay in the supply of rapamycin could considerably delay our clinical development, increase our costs, and have a material adverse effect on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currently have no plans to build our own clinical or commercial-scale manufacturing capabilities for our product candidates. Instead, we expect to rely on third parties for the manufacture of our product candidates and related raw materials for future preclinical and clinical development, as well as for commercial manufacture if any of our product candidates receive marketing approval. We have entered into arrangements with a limited number of third-party contract manufacturing organizations, or CMOs, as part of our development of our product candidates. These CMOs will provide drug substance intermediate, device, and drug product that will be subsequently, tested, released, labeled, packaged and distributed to our CROs. We may also enter into agreements with additional companies for the supply of substances for use in the development of our product candidates or any future product candidates or for the manufacture of such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or our third-party suppliers or manufacturers may encounter shortages in the raw materials or active pharmaceutical ingredient, or API, necessary to produce product candidates in the quantities needed for our clinical trials or, if any current or future product candidates we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any current or future product candidates we may develop could delay, prevent or impair our development efforts and may have a material adverse effect on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facilities used by third-party manufacturers to manufacture current or future product candidates must be authorized by the FDA pursuant to inspections that will be conducted after we submit a NDA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find alternative manufacturing facilities, which could significantly impact our ability to develop, obtain regulatory approval for or market our product candidates, if approved.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Finding new CMOs or third-party suppliers involves additional cost and requires our management’s time and focus. In addition, there is typically a transition period when a new CMO commences work. Although we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any of our product candidates. Additionally, any changes implemented by a new CMO would require substantial investment to qualify and validate the vendor as a suitable third party manufacturer of our development or marketed products. Furthermore, we may be required to conduct comparability assessments, which may include additional human clinical studies, in conjunction with validating the new CMO(s).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CMO with whom we contract fails to perform its obligations, it could delay completion of clinical trials, require the conduct of bridging clinical trials or studies, require the repetition of one or more clinical trials, increase clinical trial costs, delay approval of our current and future product candidates and jeopardize our ability to commence product sales and generate revenue.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or approved by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 or products. In addition, in the case of CMOs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part of their manufacture of our product candidates, our CMO and third-party suppliers are expected to comply with and respect the intellectual property and proprietary rights of others. If our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which could significantly impact our ability to develop, obtain regulatory approval for or commercialize our product candidates, if approved.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Even if we are able to establish agreements with third-party manufacturers, reliance on third-party manufacturers entails additional risks,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third-party manufacturers to comply with regulatory requirements and maintain quality assurance;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breach of the manufacturing agreement by the third party;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manufacture our product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manufacture our product according to our schedule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difficulties caused by unforeseen events that may delay the availability of one or more of the necessary raw materials or delay the manufacture of any current or future product candidates for use in clinical trials or for commercial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misappropriation of our proprietary information, including our trade secrets and know-how;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or nonrenewal of the agreement by the third party at a time that is costly or inconvenient for us.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Any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second sources of supply with alternative suppliers or CMOs to supplement or supply the raw materials, drug substances, intermediates, and drug product necessary for the manufacture of our product candidates, including LAM-001. If our current third-party CMO cannot perform as agreed, we may be required to replace such manufacturer and we may be unable to replace them on a timely basis or at all.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rely on a single supplier for the dry powder inhaler, and a limited number of suppliers for the raw materials used in our product candidates, and accordingly, any delay, shortage or interruption in the supply of the inhaler or such raw materials, or any contamination in our manufacturing process, could lead to delays in the manufacture and supply of our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LAM-001 is administered using a dry powder inhaler. We have entered into a supply agreement with Plastiape S.p.A. that provides us with exclusive rights with respect to the device and rapamycin for LAM-001. We currently rely on Plastiape as our sole supplier for the inhaler. If Plastiape were unable or unwilling to supply the inhaler in accordance with our supply agreement, we would need to identify and qualify an alternative device, which would require significant time, expense and regulatory effort, including potential modifications to our NDA submission and additional validation studies. Any failure by Plastiape to perform its obligations under the supply agreement, or any termination or non-renewal of such agreement, could adversely impact our ability to manufacture and supply LAM-001 for our clinical trials or, if approved, for commercial use, and could have a material adverse effect on our business, financial condition, results of operations and prospects. We do not manufacture or control the inhaler, and any disruption to Plastiape’s ability to manufacture or support the device could temporarily affect our ability to supply LAM-001 for our clinical trials or, if approved, for commercial use.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further rely on third-parties to supply certain raw materials necessary to produce our product candidates for preclinical studies and clinical trials. For example, we rely on third-parties to supply certain reagents, which are substances used in our manufacturing processes to bring about chemical or biological reactions, and other specialty materials and equipment, some of which are manufactured or supplied by small companies with limited resources. There are a small number of suppliers for certain raw materials that we use to manufacture our product candidates. Certain of our suppliers or their sub-suppliers are international, which exposes us to additional risks including trade restrictions, tariffs, export controls, geopolitical tensions, and potential disruptions to the supply chain that are beyond our control. We work with our CMOs to purchase these materials from our suppliers who may not always have long-term supply agreements in place, which could expose us to a variety of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Any significant delay in the supply of raw materials for our product candidates for a preclinical study or a clinical trial due to the need to replace a third-party supplier could considerably delay completion of certain preclinical studies and/or clinical trials. Moreover, if we are unable to purchase sufficient raw materials after regulatory approval for our product candidates, the commercial launch of our product candidates could be delayed, or there could be a supply shortage, each of which could impair our ability to generate revenues from their sale.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 material shortage, contamination, recall or restriction on the use of substances in the manufacture of our drug candidates, or the failure of any of our key suppliers to deliver necessary components required for the manufacture of our product candidates could adversely impact or disrupt the commercial manufacture or the production of clinical material, which could materially and adversely affect our development timelines and our business, financial condition, results of operations, and future prospects.</w:t>
      </w:r>
    </w:p>
    <w:p>
      <w:pPr>
        <w:pStyle w:val="TextBody"/>
        <w:bidi w:val="0"/>
        <w:spacing w:before="0" w:after="240"/>
        <w:jc w:val="both"/>
        <w:rPr>
          <w:rFonts w:ascii="Times New Roman" w:hAnsi="Times New Roman"/>
          <w:sz w:val="20"/>
        </w:rPr>
      </w:pPr>
      <w:r>
        <w:rPr>
          <w:rFonts w:ascii="Times New Roman" w:hAnsi="Times New Roman"/>
          <w:b/>
          <w:i/>
          <w:color w:val="000000"/>
          <w:sz w:val="20"/>
        </w:rPr>
        <w:t>Our employees, principal investigators, CROs and consultants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Risks Related to Regulatory Approval of our Product Candidates and Other Legal Compliance Matters</w:t>
      </w:r>
    </w:p>
    <w:p>
      <w:pPr>
        <w:pStyle w:val="TextBody"/>
        <w:bidi w:val="0"/>
        <w:spacing w:before="0" w:after="240"/>
        <w:jc w:val="both"/>
        <w:rPr>
          <w:rFonts w:ascii="Times New Roman" w:hAnsi="Times New Roman"/>
          <w:sz w:val="20"/>
        </w:rPr>
      </w:pPr>
      <w:r>
        <w:rPr>
          <w:rFonts w:ascii="Times New Roman" w:hAnsi="Times New Roman"/>
          <w:b/>
          <w:i/>
          <w:color w:val="000000"/>
          <w:sz w:val="20"/>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Currently, all of our product candidates are in development, and we have not received approval to market any of our product candidates, including LAM-001 for the treatment of PH-ILD, BOS and SAPH, from regulatory authorities in any jurisdiction. It is possible that our product candidates, including any product candidates we may seek to develop in the future, will never obtain regulatory approval. Whether the results from our clinical trials will suffice to obtain approval will be a review issue and the FDA may not grant approval and may require that we conduct one or more additional controlled clinical trials to obtain approval. Additionally, even if the FDA does grant approval for one or more of our product candidates, it may be for a narrower indication than we seek.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process of obtaining regulatory approvals, both in the United States and abroad, is expensive and often takes many years. If the FDA or a comparable foreign regulatory authority requires that we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preclinical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enroll a sufficient number of patients in our clinical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or other submission or to obtain regulatory approval in the United States or elsewhere;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such that our clinical data are insufficient for approval.</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our product candidates, the commercial prospects for our product candidates may be harmed and our ability to generate revenues will be materially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guarantee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may submit marketing applications in countries other than the United States.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 </w:t>
      </w:r>
    </w:p>
    <w:p>
      <w:pPr>
        <w:pStyle w:val="TextBody"/>
        <w:bidi w:val="0"/>
        <w:spacing w:before="0" w:after="240"/>
        <w:jc w:val="both"/>
        <w:rPr>
          <w:rFonts w:ascii="Times New Roman" w:hAnsi="Times New Roman"/>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the FDA or a comparable foreign regulatory authority approves any of our product candidates, the manufacturing processes, labeling, packaging, distribution, storage, advertising, promotion, import, export, recordkeeping, monitoring, and reporting for our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FDA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voluntary or mandatory product recalls;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revision to the labeling, including limitations on approved uses or the addition of additional warnings, contraindications or other safety information, including boxed warnings;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imposition of a REMS, which may include distribution or use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requirements to conduct additional post-market clinical trials to assess the safety of the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fines, warning letters or other regulatory enforcement 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could adversely affect our business, prospects and ability to achieve or sustain profitability. </w:t>
      </w:r>
    </w:p>
    <w:p>
      <w:pPr>
        <w:pStyle w:val="TextBody"/>
        <w:bidi w:val="0"/>
        <w:spacing w:before="0" w:after="240"/>
        <w:jc w:val="both"/>
        <w:rPr>
          <w:rFonts w:ascii="Times New Roman" w:hAnsi="Times New Roman"/>
          <w:sz w:val="20"/>
        </w:rPr>
      </w:pPr>
      <w:r>
        <w:rPr>
          <w:rFonts w:ascii="Times New Roman" w:hAnsi="Times New Roman"/>
          <w:b/>
          <w:i/>
          <w:color w:val="000000"/>
          <w:sz w:val="20"/>
        </w:rPr>
        <w:t>Our relationships with customers, healthcare professionals, and third-party payors will be subject to applicable anti-kickback, fraud and abuse and other healthcare laws and regulations, which could expose us to significant penalties, including criminal sanctions, administrative civil penalties, exclusion from government healthcare programs, contractual damages, reputational harm and diminished profits and future earnings.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current and future business operations and activities may subject us to additional healthcare statutory and regulatory requirements and enforcement by the federal government and the states and foreign governments in which we conduct our business. Healthcare providers and third-party payors play a primary role in the recommendation and prescription of any product candidates for which we obtain marketing approval. Our current and future arrangements with healthcare professionals, third-party payors and customers may expose us to broadly applicable fraud and abuse and other healthcare laws and regulations that may constrain the business or financial arrangements and relationships through which we research as well as market, sell and distribute our product candidates for which we obtain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physician payment transparency requirements, sometimes referred to as the “Sunshine Act” under the Affordable Care Act, or ACA, require certain manufacturers of drugs, devices, biologics and medical supplies that are reimbursable under Medicare, Medicaid, or the Children’s Health Insurance Program to report to the Centers for Medicare &amp; Medicaid Services, or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HIPAA, as amended by HITECH and its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certain regulatory licenses to manufacture or distribute our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it is possible that some of our business activities, including compensation of physicians with stock or equity awards, could, despite efforts to comply, be subject to challenge under current or future statutes, regulations or case law interpreting applicable fraud and abuse or other healthcare laws and regulations. Ensuring that our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were to be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our operations, any of which could adversely affect our ability to operate our business and our results of operations.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In addition, the approval and commercialization of any of our product candidates outside the United States will also likely subject us to foreign equivalents of the healthcare laws mentioned above, among other foreign laws. </w:t>
      </w:r>
    </w:p>
    <w:p>
      <w:pPr>
        <w:pStyle w:val="TextBody"/>
        <w:bidi w:val="0"/>
        <w:spacing w:before="0" w:after="240"/>
        <w:jc w:val="both"/>
        <w:rPr>
          <w:rFonts w:ascii="Times New Roman" w:hAnsi="Times New Roman"/>
          <w:sz w:val="20"/>
        </w:rPr>
      </w:pPr>
      <w:r>
        <w:rPr>
          <w:rFonts w:ascii="Times New Roman" w:hAnsi="Times New Roman"/>
          <w:b/>
          <w:i/>
          <w:color w:val="000000"/>
          <w:sz w:val="20"/>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U.S. and many foreign jurisdictions have enacted or proposed legislative and regulatory changes affecting the healthcare system that could prevent or delay marketing approval of our current or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the Patient Protection and ACA was passed, which substantially changed the way healthcare is financed by both governmental and private insurers.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have been executive, judicial and congressional challenges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current administration is pursuing policies to reduce regulations and expenditures across government agencies including at the U.S. Department of Health and Human Services, or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certain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(“SIP”)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demand for our current or future product candidates, if we obtain regulatory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coverage and reimbursement approval for a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Any reduction in reimbursement from Medicare or other government programs may result in a similar reduction in payments from private payors, which may adversely affect our future profitability.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Compliance with Trade Control laws may create delays in the introduction of our products in international markets or, in some cases, prevent the export of our products to some countries altogether. Furthermore, Trade Control laws prohibit the provision of certain products and services to countries, governments and persons targeted by sanctions.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Our operations may also produce hazardous waste products. We generally intend to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Risks Related to the Commercialization of our Product Candidates</w:t>
      </w:r>
    </w:p>
    <w:p>
      <w:pPr>
        <w:pStyle w:val="TextBody"/>
        <w:bidi w:val="0"/>
        <w:spacing w:before="0" w:after="240"/>
        <w:jc w:val="both"/>
        <w:rPr>
          <w:rFonts w:ascii="Times New Roman" w:hAnsi="Times New Roman"/>
          <w:sz w:val="20"/>
        </w:rPr>
      </w:pPr>
      <w:r>
        <w:rPr>
          <w:rFonts w:ascii="Times New Roman" w:hAnsi="Times New Roman"/>
          <w:b/>
          <w:i/>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approved.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never commercialized a product. To achieve commercial success for any product for which we obtain marketing approval, we will need a sales and marketing organization and establish logistics and distribution processes to commercialize and deliver our product candidates to patients and healthcare providers. We currently plan to work to build our commercialization capabilities internally over time such that we are able to commercialize any product candidate for which we may obtain regulatory approval. However, we currently have no sales, marketing or distribution capabilities and have no experience in marketing or distributing pharmaceutical products. These activities will be expensive and time-consuming and will require significant attention of our executive officers to manage. There are risks involved in establishing our own sales and marketing capabilities, as well as with entering into arrangements with third parties to perform these services. Additionally, our beliefs that our products will be commercially viable have not been tested.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are unable or decide not to establish internal sales, marketing and distribution capabilities, we would have to pursue collaborative arrangements regarding the sales and marketing of our products. However, we may not be successful in entering into arrangements with third parties to sell, market and distribute our product candidates or may be unable to do so on terms that are favorable to us, or if we are able to do so, that they would be effective and successful in commercializing our products. Our product revenues and our profitability, if any, would likely to be lower than if we were to sell, market and distribute any product candidates that we develop ourselves. In addition, we would have limited control over such third parties, and any of them may fail to devote the necessary resources and attention to sell and market our product candidates, including LAM-001, effectively.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do not establish sales, marketing and distribution capabilities successfully, either on our own or in collaboration with third parties, we will not be successful in commercializing our product candidates in the United States or overseas. </w:t>
      </w:r>
    </w:p>
    <w:p>
      <w:pPr>
        <w:pStyle w:val="TextBody"/>
        <w:bidi w:val="0"/>
        <w:spacing w:before="0" w:after="240"/>
        <w:jc w:val="both"/>
        <w:rPr>
          <w:rFonts w:ascii="Times New Roman" w:hAnsi="Times New Roman"/>
          <w:sz w:val="20"/>
        </w:rPr>
      </w:pPr>
      <w:r>
        <w:rPr>
          <w:rFonts w:ascii="Times New Roman" w:hAnsi="Times New Roman"/>
          <w:b/>
          <w:i/>
          <w:color w:val="000000"/>
          <w:sz w:val="20"/>
        </w:rPr>
        <w:t>We operate in a rapidly changing industry and face significant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serious pulmonary disorders, including PH-ILD.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Tyvaso, sold by United Therapeutics, Inc., and Yutrepia, sold by Liquidia Corporation, are approved drugs for the treatment of PH-ILD. We believe that LAM-001 for the treatment of PH-ILD has the potential to be used in combination with approved therapies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product candidates in development. We are aware of several product candidates in clinical development for the treatment of PH-ILD, including product candidates in development by AllRock Bio, Apollo Therapeutics, Foresee Pharmaceuticals, Gossamer Bio, Halo Biosciences, Insmed Incorporated, Liquidia Corporation, Pharmosa Biopharm, Pulmovant, Tectonic Therapeutic, and United Therapeutics Corporation. We also anticipate that we would compete with product candidates in development for BOS by Renovion, Sanofi, and Zambon. Several of these product candidates are in Phase 3 registrational trials with potential approval timelines that are ahead of our development timeline for LAM-001, including Insmed’s TPIP in a Phase 3 clinical trial for PH-ILD and Liquidia and Pharmosa’s L606 in a Phase 3 clinical trial for PH-ILD. In SAPH, we are aware of products marketed for the treatment of PAH which are frequently used off-label in SAPH patients, including drugs manufactured by Bayer, Eli Lilly, Gilead, Johnson &amp; Johnson, Liquidia, Pfizer, and United Therapeutics. We believe that LAM-001 for the treatment of SAPH has the potential to be used in combination with these therapies.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competitors with development-stage programs may obtain marketing approval from the FDA or other comparable regulatory authorities for their product candidates more rapidly than we do, and they could establish a strong market position before we are able to enter the market. In addition,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companies against which we may compete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ourselves, which could result in our competitors establishing a strong market position before we are able to enter the market. In addition, our ability to compete may be affected in many cases by insurers or other third-party payors seeking to encourage the use of generic products. Because of our primary focus on serious pulmonary disorders, if our product candidates achieve marketing approval, we expect to seek premium pricing.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FDA or other regulatory approval for their products more rapidly than we may obtain approval for ours, which could result in our competitors establishing a strong market position for either their product or a specific indication before we are able to enter the market. </w:t>
      </w:r>
    </w:p>
    <w:p>
      <w:pPr>
        <w:pStyle w:val="TextBody"/>
        <w:bidi w:val="0"/>
        <w:spacing w:before="0" w:after="240"/>
        <w:jc w:val="both"/>
        <w:rPr>
          <w:rFonts w:ascii="Times New Roman" w:hAnsi="Times New Roman"/>
          <w:sz w:val="20"/>
        </w:rPr>
      </w:pPr>
      <w:r>
        <w:rPr>
          <w:rFonts w:ascii="Times New Roman" w:hAnsi="Times New Roman"/>
          <w:b/>
          <w:i/>
          <w:color w:val="000000"/>
          <w:sz w:val="20"/>
        </w:rPr>
        <w:t>Even if any of our product candidates receives marketing approval, they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Even if we obtain approvals from the FDA or other comparable regulatory agencies and are able to initiate commercialization of our product candidates or any other product candidates we develop, the product candidate may not achieve market acceptance among physicians, patients, hospitals, including pharmacy directors, and third-party payors and, ultimately, may not be commercially successful. The degree of market acceptance of our product candidates, if approved for commercial sale, will depend on a number of factors,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physicians, hospitals, and patients considering our product candidates as a safe and effective treatment;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labeling or product insert requirements of the FDA or other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market introduction of our product candidates as well as competitive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of upfront costs or training required for physicians to administer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coverage, adequate reimbursement from, and our ability to negotiate pricing with, third-party payors and government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patients to pay out-of-pocket in the absence of comprehensive coverage and reimbursement by third-party payors and government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relative convenience and ease of administration, including as compared to alternative treatments and competitive therapies;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our sales and marketing efforts and distribution support.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Our efforts to educate physicians, patients, third-party payors and others in the medical community on the benefits of our product candidates, if approved, may require significant resources and may never be successful. Because we expect sales of our product candidates, if approved, to generate substantially all of our product revenue for the foreseeable future, the failure of our product candidates to find market acceptance could harm our business and could require us to seek additional financing.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Even if our product candidates, if approved, achieve market acceptance, we may not be able to maintain that market acceptance over time if new products or technologies are introduced that are more favorably received than our products, are more cost effective or render our products obsolete. </w:t>
      </w:r>
    </w:p>
    <w:p>
      <w:pPr>
        <w:pStyle w:val="TextBody"/>
        <w:bidi w:val="0"/>
        <w:spacing w:before="0" w:after="240"/>
        <w:jc w:val="both"/>
        <w:rPr>
          <w:rFonts w:ascii="Times New Roman" w:hAnsi="Times New Roman"/>
          <w:sz w:val="20"/>
        </w:rPr>
      </w:pPr>
      <w:r>
        <w:rPr>
          <w:rFonts w:ascii="Times New Roman" w:hAnsi="Times New Roman"/>
          <w:b/>
          <w:i/>
          <w:color w:val="000000"/>
          <w:sz w:val="20"/>
        </w:rPr>
        <w:t>Coverage and adequate reimbursement may not be available for our current or any future product candidates, which could make it difficult for us to sell profitably, if approved.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Market acceptance and sales of any product candidates, if approved, that we commercialize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we develop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us to establish or maintain pricing sufficient to realize a sufficient return on our investment will be approved. Third-party payors are increasingly challenging the price, examining the medical necessity and reviewing the cost-effectiveness of medical products, therapies and services, in addition to questioning their safety and efficacy. We may incur significant costs to conduct expensive pharmaco-economic studies in order to demonstrate the medical necessity and cost-effectiveness of our product candidates, in addition to the costs required to obtain FDA approvals. Our product candidates may not be considered medically necessary or cost-effective. Each payor determines whether or not it will provide coverage for a therapy, what amount it will pay the manufacturer for the therapy, and on what tier of its list of covered drugs, or formulary, it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and providers are unlikely to prescribe our products, unless coverage is provided and reimbursement is adequate to cover a significant portion of the cost of our products and their administration. Therefore, coverage and adequate reimbursement is critical to new medical product acceptance.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Even if favorable coverage and reimbursement status is attained for one or more product candidates for which we receive regulatory approval, less favorable coverage policies and reimbursement rates may be implemented in the future.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cannot be sure that coverage and reimbursement in the United States or elsewhere will be available for any product that we may develop, and any reimbursement that may become available may be decreased or eliminated in the future.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Moreover, our positioning of LAM-001 as an additional therapy may limit our pricing power and reimbursement potential, as third-party payors may view LAM-001 as an incremental addition to existing regimens and may impose step therapy, prior authorization or other access restrictions. Physicians may also be reluctant to add a new agent to complex treatment regimens in seriously ill patient populations where polypharmacy risks are heightened. </w:t>
      </w:r>
    </w:p>
    <w:p>
      <w:pPr>
        <w:pStyle w:val="TextBody"/>
        <w:bidi w:val="0"/>
        <w:spacing w:before="0" w:after="240"/>
        <w:jc w:val="both"/>
        <w:rPr>
          <w:rFonts w:ascii="Times New Roman" w:hAnsi="Times New Roman"/>
          <w:sz w:val="20"/>
        </w:rPr>
      </w:pPr>
      <w:r>
        <w:rPr>
          <w:rFonts w:ascii="Times New Roman" w:hAnsi="Times New Roman"/>
          <w:b/>
          <w:i/>
          <w:color w:val="000000"/>
          <w:sz w:val="20"/>
        </w:rPr>
        <w:t>Our business, operational and financial goals may not be attainable if the market opportunities for our products are smaller than we expect. Our internal research and third-party estimates may not accurately reflect the market opportunities for LAM-001 or our other product candidates today or in the future.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total market opportunities that we believe exist are based on a variety of assumptions, calculations and estimates, including the size of the addressable patient population in applicable jurisdictions, the penetration of other drugs in these markets, the number of patients we will test in clinical trials, the price we will be able to charge for our products and the total annual number of patients with PH-ILD, BOS or SAPH. In addition, we have relied on third-party publications, research, surveys and studies for information related to determining market opportunities, including without limitation, information on the number of respiratory disease patients and those receiving various forms of treatment, the cost of drug therapy, the amount of revenue generated from various types of drug therapy, the number of deaths caused by PH-ILD, BOS or SAPH, and the expected growth in related drug therapy and diagnostic markets. Our internal research and estimates on market opportunities include the use of independent sources, but any or all of our assumptions and/or estimates may prove to be incorrect for several reasons, such as inaccurate reports or information that we have relied on, potential patients or providers not being amenable to using our products or such patients becoming difficult to identify and access, limited reimbursement for our products, pricing pressure due to availability of alternative drugs or an inability to obtain the necessary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approvals for new indications. If any or all of our assumptions and estimates prove inaccurate, we may not attain our business, operational and financial goals.</w:t>
      </w:r>
    </w:p>
    <w:p>
      <w:pPr>
        <w:pStyle w:val="TextBody"/>
        <w:bidi w:val="0"/>
        <w:spacing w:before="0" w:after="240"/>
        <w:jc w:val="both"/>
        <w:rPr>
          <w:rFonts w:ascii="Times New Roman" w:hAnsi="Times New Roman"/>
          <w:sz w:val="20"/>
        </w:rPr>
      </w:pPr>
      <w:r>
        <w:rPr>
          <w:rFonts w:ascii="Times New Roman" w:hAnsi="Times New Roman"/>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product candidates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0" w:after="240"/>
        <w:jc w:val="both"/>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If we are unable to obtain and maintain effective patent protection for our technology and product candidates, or if the scope of the patent protection obtained is not sufficiently broad, we may not be able to compete effectively in our markets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rely upon a combination of patents, trade secret protection, trademarks, and confidentiality agreements to protect the intellectual property related to our product candidates and development programs. Our success depends in large part on our ability to obtain and maintain patents and other intellectual property protection in the United States and in other countries with respect to various proprietary elements of our product candidates, such as, for example, our product formulations and processes for manufacturing our products and our ability to maintain and control the confidentiality of our trade secrets and confidential information critical to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sought to protect our proprietary position by filing patent applications in the United States and abroad related to our products that are important to our business. The patent prosecution process is expensive and time-consuming, and we may not be able to file and prosecute all necessary or desirable patent applications at a reasonable cost or in a timely manner. There is no guarantee that any patent application we file will result in an issued patent having claims that protect our products; and, as a result, we may not be able to effectively prevent others from commercializing competitive products. Additionally, while the basic requirements for patentability are similar across jurisdictions, each jurisdiction has its own specific requirements for patentability. We cannot guarantee that we will obtain identical or similar patent protection covering our products in all jurisdictions where we file patent applications. If the patent applications we hold or have in-licensed with respect to our development programs and product candidates fail to issue, if their breadth or strength of protection is threatened, or if they fail to provide meaningful exclusivity for any product candidate, it could dissuade companies from collaborating with us to develop product candidates and threaten our ability to commercialize any product candidates that are approved. Any such outcome could have a materially adverse effect on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patents and patent applications that we own or in-license may fail to result in issued patents with claims that protect our present and future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present or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present or future product candidates or methods of using such. Further, if we encounter delays in regulatory approvals, the period of time during which we could market a product candidate under patent protection could be reduced.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patent position of biopharmaceutical companies is generally uncertain and involve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of these and other factors, the issuance, scope, validity, enforceability and commercial value of our patent rights are uncertain. The pending patent applications that we own or license may fail to result in issued patents with claims that cover our product candidates in the United States or in other countries for many reasons.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There is no assurance that all potentially relevant prior art relating to our patents and patent applications has been found, considered or cited during patent prosecution, which can be used to invalidate a patent or prevent a patent from issuing from a pending patent application.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Moreover, we may in the future be subject to a third-party pre-issuance submission of prior art to the USPTO. We may also become involved in opposition, derivation, reexamination, inter partes review, post-grant review or interference proceedings challenging our patent rights or the patent rights of others. For example, patents granted by the European Patent Office may be opposed by any person within nine months from the publication of their grant and, in addition, may be challenged before national courts at any time.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 If the breadth or strength of protection provided by the patents and patent applications we hold, license or pursue with respect to our product candidates is threatened, it could threaten our ability to prevent third parties from using the same technologies that we use in our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Method of use patents protect the use of a product for the specified method or indication. In the absence of separate composition of matter protection, this type of patent does not prevent a competitor from making and marketing a product that is identical to our product candidate(s) for an indication that is outside of the methods of use claimed in our patents. Moreover, even if competitor products are not approved for use in our patented indications, and our competitors do not actively promote their products for indications that are covered by our patents, clinicians may prescribe these competitor products “off-label.” Although off-label prescriptions may infringe or contribute to the infringement of method of use patents, such infringement is difficult to prevent or prosecute.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may not identify relevant patents or may incorrectly interpret the relevance, scope or expiration of a patent, which might adversely affect our ability to develop and market our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cannot guarantee that patent searches, including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candidates. We may incorrectly determine that our products are not covered by a third-party patent. Further, we may conclude that a well-informed court or other tribunal would find the claims of a relevant third-party patent to be invalid based on prior art, enablement, written description, or other ground, and that conclusion may be incorrect, which may negatively impact our ability to market our products or pipeline molecules.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Many patents may cover a marketed product, including the composition of the product, methods of use, formulations, cell line constructs, vectors, growth media, production processes and purification processes. The identification of all patents and their expiration dates relevant to the production and sale of a reference product is extraordinarily complex and requires sophisticated legal knowledge in the relevant jurisdiction. It may be impossible to identify all patents in all jurisdictions relevant to a marketed product. We may not identify all relevant patents, or incorrectly determine their expiration dates, which may negatively impact our ability to develop and market our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Failure to identify and correctly interpret relevant patents may negatively impact our ability to develop, market and commercialize our products.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or PTA, for patents in families where related patents have issued without PTA. Thus, it cannot be said with certainty how PTA will/will not be viewed in future and whether patent expiration dates may be impacted.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or changes in the governmental bodies that enforce them or changes in how the relevant governmental authority enforces patent laws or regulations may weaken our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obtain new patents or to enforce patents that we have licensed or that we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or the UPC, for litigation involving such patents. As the UPC is a relatively new court system, there is uncertainty regarding litigation at the UPC. Our European patent applications, if issued, could be challenged in the UPC. During the first seven years of the UPC’s existence, the UPC legislation allows a patent owner to opt its European patents out of the jurisdiction of the UPC. We may decide to opt out of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It is uncertain how the UPC will impact granted European patents in the pharmaceutical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Third-party claims or litigation alleging infringement of patents or other proprietary rights, or seeking to invalidate our patents or other proprietary rights, may delay or prevent our development and commercialization efforts.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commercial success depends in part on avoiding infringement of the patents and proprietary rights of third parties. There is a substantial amount of litigation, both within and outside the United States, involving patent and other intellectual property rights in the pharmaceutical industry, including patent infringement lawsuits, interferences, reexamination,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are developing product candidates. As the biopharmaceutical industry expands and more patents are issued, the risk increases that our product candidates or other business activities may be subject to claims of infringement of the patent rights of third parties. Third parties may assert that we are employing their proprietary technology without authorization.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may be third-party patents or patent applications with claims to compositions, formulations, methods of manufacture or methods for treatment related to the use or manufacture of our product candidates. Moreover, because patent applications can take many years to issue, there may be currently pending patent applications that may later result in issued patents covering our product candidates. The existence of any patent with valid and enforceable claims covering one or more of our product candidates could cause substantial delays in our ability to introduce a candidate into the U.S. market if the term of such patent extends beyond our desired product launch 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may also be patent applications that have been filed but not published and if such applications issue as patents, they could be asserted against us. For example, in most cases, a patent filed today would not become known to industry participants for at least 18 months given patent rules applicable in most jurisdictions that do not require publication of patent applications until 18 months after filing.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third parties may obtain patent rights in the future and claim that use of our technologies infringes upon these rights.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patents expire. Similarly, if any third-party patent were held by a court of competent jurisdiction to cover aspects of our formulations, processes for manufacture or methods of use, the holders of any such patent may be able to block our ability to develop and commercialize the applicable product candidate unless we obtained a license or until such patent expires. In either case, such a license may not be available on commercially reasonable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infringement claims against us, we may become a party to other patent litigation and other proceedings, including interference, derivation or post-grant proceedings declared or granted by the USPTO and similar proceedings in foreign countries, regarding intellectual property rights with respect to our products.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Third parties may submit applications for patent term extensions in the United States or other jurisdictions where similar extensions are available and/or Supplementary Protection Certificates in the EU states seeking to extend certain patent protection that, if approved, may interfere with or delay the launch of one or more of our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cost to us of any patent litigation or other proceeding, even if resolved in our favor, could be substantial. Patent litigation and other proceedings may fail, and even if successful, may result in substantial costs and distract our management and other employees. Uncertainties resulting from the initiation and continuation of patent litigation or other proceedings could impair our ability to compete in the marketplace.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Furthermore, as the patent landscape is crowded and highly competitive, even in the absence of litigation we may need to obtain licenses from third parties to advance our research or allow commercialization of our product candidates. We may fail to obtain any of these licenses at a reasonable cost or on reasonable terms, if at all. Even if we are able to obtain a license, it may be non-exclusive, which means that our competitors may also receive access to the same technologies licensed to us. In that event, we may face commercial competition, which could harm our business. We cannot provide any assurances that third-party patents do not exist which might be enforced against product candidates resulting in either an injunction prohibiting our sales, or, with respect to our sales, an obligation on our part to pay royalties or other forms of compensation to third parties.</w:t>
      </w:r>
    </w:p>
    <w:p>
      <w:pPr>
        <w:pStyle w:val="TextBody"/>
        <w:bidi w:val="0"/>
        <w:spacing w:before="0" w:after="240"/>
        <w:jc w:val="both"/>
        <w:rPr>
          <w:rFonts w:ascii="Times New Roman" w:hAnsi="Times New Roman"/>
          <w:sz w:val="20"/>
        </w:rPr>
      </w:pPr>
      <w:r>
        <w:rPr>
          <w:rFonts w:ascii="Times New Roman" w:hAnsi="Times New Roman"/>
          <w:b/>
          <w:i/>
          <w:color w:val="000000"/>
          <w:sz w:val="20"/>
        </w:rPr>
        <w:t>We may need to license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third party may hold intellectual property rights, including patent rights, that are important or necessary to the development or manufacture of our product candidates. It may be necessary for us to use the patented or proprietary technology of third parties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commercialize our product candidates. In each of these cases,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may develop or license intellectual property for which development was funded or otherwise assisted by, the U.S. government and/or government agencies, such as the National Institutes of Health, for development of our technology and product candidates. Failure to meet our own obligations to future licensors or upstream licensors, including such government agencies, may result in the loss of our rights to such intellectual property, which could harm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U.S. government and/or government agencies may provide funding, facilities, personnel, or other assistance in connection with the development of the intellectual property rights owned by or licensed to us. The U.S. government and/or government agencies may retain rights in such intellectual property,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For example, research resulting in future in licensed patent rights and technology that was funded in part by the U.S. government could result in the government having certain rights, or march in rights, to such patent rights and technology which may permit the government to disclose our confidential information to third parties and to exercise march in rights to use or allow third parties to use our licensed technology, potentially on unfavorable terms or without adequate compensation.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may become involved in lawsuits to protect or enforce our patents, the patents of our licensors or our other intellectual property rights, which could be expensive, time-consuming and unsuccessful.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the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The outcome following legal assertions of invalidity and unenforceability is unpredictable, and there is a risk that a court will decide that a patent of ours is invalid or unenforceable, in whole or in part, and that we do not have the right to stop the other party from using the invention at issue. There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is also a risk that, even if the validity of such patents is upheld, the court will construe the patent’s claims narrowly and decide that we do not have the right to stop the other party from using the invention at issue on the grounds that our patent claims do not cover the invention or that the other party’s use of our patented technology falls under the safe harbor to patent infringement under 35 U.S.C. §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Even if we establish infringement, the court may decide not to grant an injunction against further infringing activity and instead award only monetary damages, which may or may not be an adequate remedy.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market price of common shares.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employ individuals and retain independent contractors and consultants, or in the future, may employ individuals and retain independent contractors and consultants, who were previously employed at universities or other pharmaceutical companies, including our competitors or potential competitors. Although we seek to protect our ownership of intellectual property rights by ensuring that our agreements with our employees, independent contractors, consultants,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such persons’ former companies or other third parties. We may also be subject to claims that such persons or other third parties have an ownership interest in our intellectual property.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while we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asserting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and other rights from third parties or otherwise experience disruptions to our business relationships with our licensors, we could lose license rights with respect to certain clinical programs.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party to certain license agreements with respect to certain of our product candidates outside of our LAM-001 clinical program pursuant to which we were granted rights to intellectual property in connection with the development, manufacture and commercialization of such product candidates. If we fail to comply with our obligations under these agreements or if we are subject to a bankruptcy, we may be required to make certain payments to the licensor of our license or the licensor may have the right to terminate the license, and in the event of termination we may not be able to develop or market products covered by the license. In the event we breach any of our obligations under these agreements, we may incur significant liability to our licensing partners. Disputes may arise regarding intellectual property subject to a license agreement,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our technology and processes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sublicensing of patents and other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harm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our license agreements do, and we expect that future license agreements will impose various diligence, milestone payment, royalty, insurance and/or other obligations on us. If we breach any material obligations, or use the intellectual property licensed to us in an unauthorized manner, we may be required to pay damages and the licensor(s) may have the right to terminate the license, which could result in us being unable to develop, manufacture and sell products that are covered by the licensed technology or enable a competitor to gain access to the licensed technology, and could compromise our development and commercialization efforts for our product candidates.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may be subject to claims challenging the inventorship of our patent filings and other intellectual property.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in the future be subject to claims that former employees, collaborators or other third parties have an interest in our patent applications or patents we may be granted or other intellectual property as an inventor or co-inventor. For example, we may have inventorship or ownership disputes arise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0"/>
        </w:rPr>
        <w:t>Any trademarks we may obtain may be infringed or successfully challenged, resulting in harm to our business.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any proprietary name we propose to use with our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such as, our employees, consultants, board members, contractors, potential collaborators and financial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 adequate remedies for any breach. Our confidential information and trade secrets thus may become known by our competitors in ways we cannot prove or remedy.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require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Misappropriation or unauthorized disclosure of our trade secrets could impair our competitive position and may harm our business. Additionally, if the steps taken to maintain our trade secrets are deemed inadequate, we may have insufficient recourse against third parties for misappropriating any trade secret. We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impair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Filing, prosecuting, defending and enforcing patents and trademarks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or trademark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importing products made using our inventions into the United States or other jurisdictions and we may not be able to use our trademarks in all countries or prevent others from using or registering similar trademarks.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United States. These products may compete with our products and our patents or other intellectual property rights may not be effective or sufficient to prevent them from competing.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being approved, and could provoke third parties to assert claims against us. We may not prevail in any lawsuits that we initiate and the damages or other remedies awarded, if any, may not be commercially meaningful. Governments of some foreign countries may force us to license our patents to third parties on terms that are not commercially reasonable or acceptable to us. In addition, many countries limit the enforceability of patents against government agencies or government contractors.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Further, the standards applied by the USPTO and foreign patent offices in granting patents are not always applied uniformly or predictably.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unpredictable.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geopolitical actions in the United States and in other countries could increase the uncertainties and costs surrounding the prosecution or maintenance of our patent applications or those of any future licensors and the maintenance, enforcement, or defense of our issued patents or those of any future licensors. As a result, our competitive position may be impaired, and our business, financial condition, results of operations, and prospects may be adversely affected.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other foreign patent agencies in several stages over the lifetime of the patent. We rely on our outside counsel or third-party vendors to pay these fees. The USPTO, CIPO and various foreign national or international patent agencies require compliance with a number of procedural, documentary, fee payment and other similar provisions during the patent application process.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prescribed time limits, non-payment of fees and failure to properly legalize and submit formal documents. If we or our licensors fail to maintain the patents and patent applications covering our present and future product candidates, our competitors might be able to enter the market, which would have an adverse effect on our business.</w:t>
      </w:r>
    </w:p>
    <w:p>
      <w:pPr>
        <w:pStyle w:val="TextBody"/>
        <w:bidi w:val="0"/>
        <w:spacing w:before="0" w:after="240"/>
        <w:jc w:val="both"/>
        <w:rPr>
          <w:rFonts w:ascii="Times New Roman" w:hAnsi="Times New Roman"/>
          <w:sz w:val="20"/>
        </w:rPr>
      </w:pPr>
      <w:r>
        <w:rPr>
          <w:rFonts w:ascii="Times New Roman" w:hAnsi="Times New Roman"/>
          <w:b/>
          <w:color w:val="000000"/>
          <w:sz w:val="20"/>
        </w:rPr>
        <w:t>Risks Related to our Business Operations</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will be required to expand our development and regulatory capabilities and potentially implement sales, marketing and distribution capabilities, and as a result, we may encounter difficulties in managing our growth, which could disrupt our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our development and commercialization plans and strategies develop, and as we continue operating as a public company, we expect to need and to experience significant growth in the number of our employees and the scope of our operations, particularly in the areas of drug development, regulatory affairs and, if our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and human resources, we may not be able to effectively manage the expansion of our operations or recruit and train additional qualified personnel, as the competition for individuals in serious pulmonary disorder product development is high. Our future financial performance and our ability to commercialize our product candidates will depend, in part, on our ability to effectively manage any future growth, and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0" w:after="240"/>
        <w:jc w:val="both"/>
        <w:rPr>
          <w:rFonts w:ascii="Times New Roman" w:hAnsi="Times New Roman"/>
          <w:sz w:val="20"/>
        </w:rPr>
      </w:pPr>
      <w:r>
        <w:rPr>
          <w:rFonts w:ascii="Times New Roman" w:hAnsi="Times New Roman"/>
          <w:b/>
          <w:i/>
          <w:color w:val="000000"/>
          <w:sz w:val="20"/>
        </w:rPr>
        <w:t>Our future success depends on our ability to retain key members of senior management and to attract, retain and motivate qualified personnel.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ability to compete in the highly competitive biopharmaceutical industry depends upon our ability to attract and retain highly qualified management, research and development, clinical, financial and business development personnel. Our senior management may terminate their employment with us at any time, and we do not maintain “key person” insurance for any of our employees.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Acquisition resulted in a combined management team that is small relative to our development ambitions. We are heavily dependent on a limited number of individuals with specialized expertise in serious pulmonary disorders. The loss of one or more of these individuals, particularly during the critical post-Acquisition integration period, could significantly delay our clinical development programs. Competition for individuals with this specialized expertise is intense, and we may not be able to recruit suitable replacements on acceptable terms or in a timely manner.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Following the Acquisition, certain of our employees who previously worked at a private company are now subject to public company compliance obligations, and any failure to comply with these obligations could expose us to regulatory risk and reputational harm.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result of the Acquisition, a number of individuals who previously operated in a private company environment are now employees or officers of a publicly traded company and are subject to public company compliance obligations, including compliance with our insider trading policy, Section 16 reporting requirements under the Securities Exchange Act of 1934, Regulation FD restrictions on selective disclosure of material nonpublic information, and quiet period restrictions around SEC filings. These individuals may not have prior experience with public company compliance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implemented onboarding and training programs to educate former Orphai employees regarding these obligations. However, there can be no assurance that all individuals will fully understand or consistently comply with these requirements, particularly during the initial post-Acquisition integration period. Any inadvertent violation of insider trading laws, Section 16 reporting obligations, or Regulation FD could result in SEC enforcement action, personal liability for the individuals involved, and reputational harm to the company. Such violations could also undermine investor confidence in our corporate governance practices and adversely affect the trading price of our common stock.</w:t>
      </w:r>
    </w:p>
    <w:p>
      <w:pPr>
        <w:pStyle w:val="TextBody"/>
        <w:bidi w:val="0"/>
        <w:spacing w:before="0" w:after="240"/>
        <w:jc w:val="both"/>
        <w:rPr>
          <w:rFonts w:ascii="Times New Roman" w:hAnsi="Times New Roman"/>
          <w:sz w:val="20"/>
        </w:rPr>
      </w:pPr>
      <w:r>
        <w:rPr>
          <w:rFonts w:ascii="Times New Roman" w:hAnsi="Times New Roman"/>
          <w:b/>
          <w:i/>
          <w:color w:val="000000"/>
          <w:sz w:val="20"/>
        </w:rPr>
        <w:t>If we engage in future acquisitions or strategic collaborations,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diversion of our management’s attention from our existing programs and initiatives in pursuing such a strategic partnership, merger or acquisition;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generate revenue from acquired technology sufficient to meet our objectives in undertaking the acquisition or even to offset the associated acquisition and maintenance costs.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Additionally, if we undertake future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 </w:t>
      </w:r>
    </w:p>
    <w:p>
      <w:pPr>
        <w:pStyle w:val="TextBody"/>
        <w:bidi w:val="0"/>
        <w:spacing w:before="0" w:after="240"/>
        <w:jc w:val="both"/>
        <w:rPr>
          <w:rFonts w:ascii="Times New Roman" w:hAnsi="Times New Roman"/>
          <w:sz w:val="20"/>
        </w:rPr>
      </w:pPr>
      <w:r>
        <w:rPr>
          <w:rFonts w:ascii="Times New Roman" w:hAnsi="Times New Roman"/>
          <w:b/>
          <w:i/>
          <w:color w:val="000000"/>
          <w:sz w:val="20"/>
        </w:rPr>
        <w:t>Product liability lawsuits against us could cause us to incur substantial liabilities and to limit commercialization of any products that we may develop.</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reduced resources of our management to pursue our business strategy;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any product candidates or products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significant costs to defend the resulting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paid to clinical trial participants or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commercialize any products that we may develop.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We currently maintain product liability insurance with coverage in the aggregate and a per incident limit at an amount that we believe is adequate to cover estimated liabilities that we may incur. We may need to increase our insurance coverage if we re-initiate our clinical trials or if we commence commercialization of our product candidates. Insurance coverage is increasingly expensive. We may not be able to maintain insurance coverage at a reasonable cost or in an amount adequate to satisfy any liability that may arise. </w:t>
      </w:r>
    </w:p>
    <w:p>
      <w:pPr>
        <w:pStyle w:val="TextBody"/>
        <w:bidi w:val="0"/>
        <w:spacing w:before="0" w:after="240"/>
        <w:jc w:val="both"/>
        <w:rPr>
          <w:rFonts w:ascii="Times New Roman" w:hAnsi="Times New Roman"/>
          <w:sz w:val="20"/>
        </w:rPr>
      </w:pPr>
      <w:r>
        <w:rPr>
          <w:rFonts w:ascii="Times New Roman" w:hAnsi="Times New Roman"/>
          <w:b/>
          <w:color w:val="000000"/>
          <w:sz w:val="20"/>
        </w:rPr>
        <w:t>Risks Related to our Securities and our Status as a Public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0"/>
        </w:rPr>
        <w:t>The trading price of our common stock may be volatile, and you could lose all or part of your investment.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common stock. In addition to the factors discussed elsewhere in this “Risk Factors” section, these factors include: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commencement, enrollment or results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positive or negative results from, or delays in, testing and clinical trials by us, collaborators or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loss of any of our key scientific or management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actions taken by regulatory agencies with respect to our clinical trials or manufacturers;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or developments in laws or regulations applicable to our product candidates and preclinical program;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structure and scope of health 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to our relationships with collaborators, manufacturers or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concerns regarding the safety of our product candidates ;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concerning our competitors or the pharmaceutical industry in general;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fluctuations in our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financial estimates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acquisitions, financing, collaborations or other corporate transactions;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our efforts to discover, develop, acquire or in-license additional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volume of our common stock on Nasdaq;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our common stock by us, members of our senior management and directors or our stockholders or the anticipation that such sales may occur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political, and market conditions and overall fluctuations in the financial markets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 market price and volume fluctuations of comparable companies and, in particular, those that operate in the biopharmaceutical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investors’ general perception of us and our business;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events and factors, many of which are beyond our control.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These and other market and industry factors may cause the market price and demand for our common stock to fluctuate substantially, regardless of our actual operating performance, which may limit or prevent investors from selling their common stock at or above the price paid for the common stock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From time to time, we have been, and may continue to be, subject to legal proceedings and claims in the ordinary course of business. We also may decide to settle lawsuits on unfavorable terms.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Our business and operations could be negatively affected by any securities litigation or stockholder activism, which could cause us to incur significant expense, hinder execution of business and growth strategies and impact our share price.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securities or other reasons may in the future cause us to become the target of securities litigation or stockholder activism.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Securities litigation and stockholder activism, including proxy contests, could result in substantial costs and divert management’s and the Board’s attention and resources from our business. The potential of a proxy contest or other stockholder activism could interfere with our ability to execute on our strategic plan, give rise to perceived uncertainties as to our future direction, result in the loss of potential business opportunities or make it more difficult to attract and retain qualified personnel, any of which could materially and adversely affect our business and operating results. Further, our share price could be subject to significant fluctuation or otherwise be adversely affected by the events, risks and uncertainties of any securities litigation and stockholder activism.</w:t>
      </w:r>
    </w:p>
    <w:p>
      <w:pPr>
        <w:pStyle w:val="TextBody"/>
        <w:bidi w:val="0"/>
        <w:spacing w:before="0" w:after="240"/>
        <w:jc w:val="both"/>
        <w:rPr>
          <w:rFonts w:ascii="Times New Roman" w:hAnsi="Times New Roman"/>
          <w:sz w:val="20"/>
        </w:rPr>
      </w:pPr>
      <w:r>
        <w:rPr>
          <w:rFonts w:ascii="Times New Roman" w:hAnsi="Times New Roman"/>
          <w:b/>
          <w:i/>
          <w:color w:val="000000"/>
          <w:sz w:val="20"/>
        </w:rPr>
        <w:t>A significant portion of our total outstanding shares may be sold into the market, which could cause the market price of our common stock to drop significantly, even if our business is doing well.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substantial amounts of our shares of common stock in the public market, the market price of our common stock could decline significantly.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we have filed registration statements registering the issuance of all shares of common stock subject to options or other equity awards issued or reserved for future issuance under our equity incentive plans. Shares registered under these registration statements will be available for sale in the public market following vesting, exercise and/or settlement (as applicable) of the equity awards and, in the case of our affiliates, the restrictions of Rule 144 under the Securities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Furthermore, certain holders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Finally, in connection with the execution of the Agreement and Plan of Merger, or the Merger Agreement, dated as of May 17, 2026, by and among the Company, Orphai Therapeutics, LLC, a Delaware limited liability company and wholly owned subsidiary of Orphai Holdings Therapeutics, Inc., a Delaware corporation, Phoenix Merger Sub I, Inc., a Delaware corporation and a wholly owned subsidiary of the Company, Phoenix Merger Sub II, LLC, a Delaware limited liability company and wholly owned subsidiary of the Company, certain of our directors and officers, as well as certain of the directors, officers and stockholders of Orphai, each as of immediately prior to the Acquisition, entered into lock-up agreements for a period ending on the earlier of (i) 12 months after the closing of the Acquisition and (ii) the issuance by us of a press release announcing (a) top line data from the ongoing LAM-001 Phase 2 trial in BOS or (b) the termination or suspension of such trial, whichever occurs first, pursuant to which each such stockholder will be subject to restrictions on the sale or transfer of shares of our common stock and Series C Preferred Stock held by each such stockholder, including those shares received by directors and officers in the Acquisition, subject to certain limited exceptions as set forth in such lock-up agreements, and provided that such restrictions will be terminated upon the termination of such party’s employment or service as a member of our board of directors. In addition, following the date that is 180 days after the closing of the Acquisition, 5% of the aggregate number of shares of common stock owned by such party at such time, and on a monthly basis thereafter, will be released from the lockup restrictions. Upon expiration of this lockup period, these shares will become eligible for sale in the public market. Pursuant to the Merger Agreement and the registration rights agreement that we entered into pursuant to the 2026 Private Placement, we are obligated to prepare and file a resale registration statement with the SEC to register the resale of shares of our common stock underlying the Series C Preferred Stock and warrant to purchase shares of Series C Preferred Stock. We will use reasonable best efforts to cause this registration statement to be declared effective by the SEC. Once the registration statement is declared effective, the shares subject to the registration statement will no longer constitute restricted securities and may be sold freely in the public markets, subject to (i) the approval of the Company Stockholder Matters (as defined below), (ii) the approval of the Nasdaq Listing Application (as defined below) and (iii) any beneficial ownership limitations set by the holder of Series C Preferred Stock. Certain additional holders of our common stock have rights, subject to conditions, to require us to file registration statements covering their shares or to include their shares in Securities Act registration statements that we may file for ourselves or other stockholders. If our stockholders sell, or indicate an intention to sell, substantial amounts of our common stock in the public market after legal restrictions on resale lapse, the trading price of our common stock could decline.</w:t>
      </w:r>
    </w:p>
    <w:p>
      <w:pPr>
        <w:pStyle w:val="TextBody"/>
        <w:bidi w:val="0"/>
        <w:spacing w:before="0" w:after="240"/>
        <w:jc w:val="both"/>
        <w:rPr>
          <w:rFonts w:ascii="Times New Roman" w:hAnsi="Times New Roman"/>
          <w:sz w:val="20"/>
        </w:rPr>
      </w:pPr>
      <w:r>
        <w:rPr>
          <w:rFonts w:ascii="Times New Roman" w:hAnsi="Times New Roman"/>
          <w:color w:val="000000"/>
          <w:sz w:val="20"/>
        </w:rPr>
        <w:t>In addition, we have filed a shelf registration statement on Form S-3, or the Shelf Registration Statement, which permits us to sell from time to time up to $200.0 million of additional shares of our common stock or other securities in one or more offerings. In particular, we may offer and sell up to $75.0 million of shares of our common stock from time to time pursuant to the Controlled Equity Offering</w:t>
      </w:r>
      <w:r>
        <w:rPr>
          <w:rFonts w:ascii="Times New Roman" w:hAnsi="Times New Roman"/>
          <w:color w:val="000000"/>
          <w:sz w:val="13"/>
        </w:rPr>
        <w:t>SM</w:t>
      </w:r>
      <w:r>
        <w:rPr>
          <w:rFonts w:ascii="Times New Roman" w:hAnsi="Times New Roman"/>
          <w:color w:val="000000"/>
          <w:sz w:val="20"/>
        </w:rPr>
        <w:t xml:space="preserve"> Sales Agreement dated December 18, 2024, or the Sales Agreement, that we have entered into with Cantor Fitzgerald &amp; Co. and H.C. Wainwright &amp; Co., LLC. During the six months ended June 30, 2026, we utilized our ATM program to raise net proceeds of approximately $20.3 million by issuing 526,435 shares of common stock. Depending on market liquidity at the time, sales of our common stock pursuant to the Sales Agreement, or other sales of our common stock or other securities under the Shelf Registration Statement, may cause the trading price of our common stock to decline.</w:t>
      </w:r>
    </w:p>
    <w:p>
      <w:pPr>
        <w:pStyle w:val="TextBody"/>
        <w:bidi w:val="0"/>
        <w:spacing w:before="0" w:after="240"/>
        <w:jc w:val="both"/>
        <w:rPr>
          <w:rFonts w:ascii="Times New Roman" w:hAnsi="Times New Roman"/>
          <w:sz w:val="20"/>
        </w:rPr>
      </w:pPr>
      <w:r>
        <w:rPr>
          <w:rFonts w:ascii="Times New Roman" w:hAnsi="Times New Roman"/>
          <w:color w:val="000000"/>
          <w:sz w:val="20"/>
        </w:rPr>
        <w:t>Furthermore, we have warrants currently outstanding that will be exercisable beginning on the trading day following the earlier of our public announcement of (a) top line data from the ongoing LAM-001 trial in BOS and (b) the termination or suspension of such LAM-001 trial in BOS and through the 30</w:t>
      </w:r>
      <w:r>
        <w:rPr>
          <w:rFonts w:ascii="Times New Roman" w:hAnsi="Times New Roman"/>
          <w:color w:val="000000"/>
          <w:sz w:val="13"/>
        </w:rPr>
        <w:t>th</w:t>
      </w:r>
      <w:r>
        <w:rPr>
          <w:rFonts w:ascii="Times New Roman" w:hAnsi="Times New Roman"/>
          <w:color w:val="000000"/>
          <w:sz w:val="20"/>
        </w:rPr>
        <w:t xml:space="preserve"> day following such public announcement to purchase shares of common stock. To the extent that these warrants are exercised, or to the extent we issue additional shares of common stock in the future, as the case may be, there will be further dilution to holders of shares of the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stockholders may realize little or no value from the divestiture of our legacy assets, and as a result our stock price may decline, we could be subject to litigation, and our business may be adversely affected.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sold our legacy small molecule protease inhibitor portfolio to Lighthouse, which is a newly organized, private development stage company in the start-up phase, and has only recently commenced its operations. There is currently no existing public market for the shares of Lighthouse's common stock, and there can be no assurance that an active public market will ever develop. The absence of an active public market for these securities would make it difficult for us to sell the shares of Lighthouse's common stock and realize any value from them. To date, Lighthouse’s operations have been primarily limited to organizing and staffing its company and completing the acquisition of our legacy assets. Accordingly, it is difficult if not impossible to predict Lighthouse’s future performance or to evaluate its business and prospects, or ability to develop our legacy assets. For these and other reasons, our stockholders may realize little or no value from the divestiture of our legacy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divestiture of our legacy assets could result in litigation against us, including litigation arising from or related to the value, received in the sale of our legacy assets to Lighthouse. For example, some of our investors purchased shares of our common stock because they were interested in the opportunities presented by our small molecule protease inhibitor portfolio, others because they were interested in our bone-targeting drug platform. Thus, certain stockholders may have attributed substantial financial value to our legacy assets or NOV004. If our stockholders believe that the financial value which is or may be received by us or them from the divestiture of our assets is inadequate, our stock price may decline and litigation may occur. As a result of these and other factors, we may be exposed to a number of risks, including declines or fluctuations in our stock price, additional legal fees, and distractions to our management caused by activities undertaken in connection with resolving any disputes related to these transactions. The occurrence of any one or more of the above could have an adverse impact on our business and financial condition. </w:t>
      </w:r>
    </w:p>
    <w:p>
      <w:pPr>
        <w:pStyle w:val="TextBody"/>
        <w:bidi w:val="0"/>
        <w:spacing w:before="0" w:after="240"/>
        <w:jc w:val="both"/>
        <w:rPr>
          <w:rFonts w:ascii="Times New Roman" w:hAnsi="Times New Roman"/>
          <w:sz w:val="20"/>
        </w:rPr>
      </w:pPr>
      <w:r>
        <w:rPr>
          <w:rFonts w:ascii="Times New Roman" w:hAnsi="Times New Roman"/>
          <w:b/>
          <w:i/>
          <w:color w:val="000000"/>
          <w:sz w:val="20"/>
        </w:rPr>
        <w:t>We do not anticipate paying any cash dividends on our common stock in the foreseeable future.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do not intend to pay any cash dividends on our common stock in the foreseeable future and we currently intend to retain our future earnings, if any, to fund the development and growth of our business. Therefore, you should not rely on an investment in our common stock to provide dividend income. 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common stock will be your sole source of gains for the foreseeable future.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subject to federal, state and local income and other taxes in the United States and in foreign jurisdictions because of the scope of our operations. 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example, the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government recently enacted legislation commonly referred to as the One Big Beautiful Bill Act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Internal Revenue Service and other taxing authorities with respect to this and other legislation may affect us, and certain aspects of such legislation could be repealed or modified in future legislation or sunset in future years. In addition, it is uncertain if and to what extent various states will conform to federal law. We continue to evaluate the impact that these and other tax reforms may have on our business. To the extent that any such changes in tax laws and regulations have a negative impact on us, including as a result of related uncertainty, our business, financial condition, results of operations and cash flows may be materially and adversely impacted and we may be required to implement changes to minimize increases in our tax liability.</w:t>
      </w:r>
    </w:p>
    <w:p>
      <w:pPr>
        <w:pStyle w:val="TextBody"/>
        <w:bidi w:val="0"/>
        <w:spacing w:before="0" w:after="240"/>
        <w:jc w:val="both"/>
        <w:rPr>
          <w:rFonts w:ascii="Times New Roman" w:hAnsi="Times New Roman"/>
          <w:sz w:val="20"/>
        </w:rPr>
      </w:pPr>
      <w:r>
        <w:rPr>
          <w:rFonts w:ascii="Times New Roman" w:hAnsi="Times New Roman"/>
          <w:b/>
          <w:i/>
          <w:color w:val="000000"/>
          <w:sz w:val="20"/>
        </w:rPr>
        <w:t>Our ability to use our net operating losses to offset future taxable income may be subject to certain limitations.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net operating loss, or NOL, carryforwards could expire unused and be unavailable to offset future income tax liabilities because of their limited duration or because of restrictions under U.S. tax law. U.S. federal NOLs generated in taxable years beginning before January 1, 2018 are permitted to be carried forward for only 20 taxable years under applicable U.S. federal income tax law. Under the Tax Cuts and Jobs Act of 2017, or the Tax Act, as modified by the Coronavirus Aid, Relief, and Economic Security Act, or the CARES Act, NOLs arising in taxable years beginning after December 31, 2017 may be carried forward indefinitely, but the deductibility of such NOLs generally will be limited in taxable years beginning after December 31, 2020 to 80% of current year taxable income. NOLs generated in Italy are subject to Italian tax laws and deductibility of such Italian NOLs are limited to 80% of taxable income. As of December 31, 2025, we had federal net operating loss carryforwards of approximately $253.3 million, of which $237.5 million will not expire and $15.8 million begin expiring in 2034. As of December 31, 2025, we also had state net operating loss carryforwards of approximately $34.8 million which begin to expire in 2034. Additionally, we have federal tax credits of approximately $10.4 million which begin to expire in 2036 and state tax credits of approximately $3.0 million which do not expire.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Following the approval of the Company Stockholder Matters, the Acquisition will result in an ownership change for us and, accordingly, our NOL carryforwards and certain other tax attributes will be subject to limitations (or disallowance) on their use after approval of the Company Stockholder Matters. Orphai’s NOL carryforwards may also be subject to limitations as a result of prior shifts in equity ownership and/or the Acquisition. We may also have experienced an ownership change in the past, and may experience ownership changes in the future as a result of subsequent shifts in our stock ownership, some of which are outside our control. Furthermore, our ability to utilize NOLs of Orphai we have acquired as a result of the Acquisition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have incurred and expect to continue incurring significantly increased costs as a result of operating as a company whose common stock is publicly traded, and our management will be required to devote substantial time to new compliance initiatives.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 public company, we have incurred significant legal, accounting and other expenses that we did not incur previously, as a private company. These expenses will likely be even more significant after we no longer qualify as an emerging growth company. The Sarbanes-Oxley Act, the Dodd-Frank Wall Street Reform and Consumer Protection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we expect that these rules and regulations may make it more difficult and more expensive for us to obtain director and officer liability insurance,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which in turn could make it more difficult for us to attract and retain qualified senior management personnel or members for our board of directors.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Pursuant to Section 404, we are required to furnish a report by our senior management on our internal control over financial reporting. Depending upon our filer status, we could also be required to include an attestation report on internal control over financial reporting issued by our independent registered public accounting firm as required by Section 404(b). To prepare for eventual compliance with Section 404,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Our charter documents and Delaware law could prevent a takeover that stockholders consider favorable and could also reduce the market price of our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providing for a classified board of directors with staggered, three-year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authorizing our board of directors to issue preferred stock with voting or other rights or preferences that could discourage a takeover attempt or delay changes in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prohibiting cumulative voting in the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providing that vacancies on our board of directors may be filled only by a majority of directors then in office, even though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prohibiting the adoption, amendment or repeal of our amended and restated bylaws or the repeal of the provisions of our amended and restated certificate of incorporation regarding the election and removal of directors without the required approval of at least 66.67% of the shares entitled to vote at an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prohibiting stockholder action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the persons who may call special meetings of stockholders;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requiring advance notification of stockholder nominations and proposals.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is the sole and exclusive forum for substantially all disputes between us and our stockholders, which could limit our stockholders’ abilities to obtain a favorable judicial forum for disputes with us or our directors, officers or employees.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amended and restated certificate of incorporation provides that, unless we consent to the selection of an alternative forum, to the fullest extent permitted by law, the Court of Chancery of the State of Delaware shall be the sole and exclusive forum for: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asserting a claim of breach of a fiduciary duty owed by, or other wrongdoing by, any of our directors, officers, employees or agents or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asserting a claim against us arising under the DGCL, our amended and restated certificate of incorporation, or our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While the Delaware Supreme Court recently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Risks Related to the Acquisition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Pursuant to the terms of the Acquisition, we are required to recommend that our stockholders approve the conversion of all outstanding shares of our Series C preferred stock into shares of our common stock. We must also obtain stockholder approval of an amendment to our certificate of incorporation to increase the number of shares we are authorized to issue. We cannot guarantee that our stockholders will approve these matters, and if they fail to do so we may be required to settle such shares in cash and our operations may be materially harmed.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the terms of the Merger Agreement and the 2026 Private Placement purchase agreement, as promptly as practicable following the date of the Merger Agreement and pursuant to the Nasdaq Stock Market Rules, we will call and hold a meeting of our stockholders to obtain the requisite approval from our legacy stockholders for, among other things, (i) the approval, in accordance with certain of the rules of Nasdaq of the conversion of the Series C Preferred Stock into shares of our common stock, or the Conversion Proposal, (ii) the approval of the transactions contemplated by the Merger Agreement and the 2026 Private Placement in accordance with applicable Nasdaq listing rules, or the Nasdaq Proposals, (iii) the amendment of our certificate of incorporation to authorize an increase to the number of authorized shares of our common stock from 250,000,000 to up to 800,000,000 shares of common stock (in July 2026, the Board determined to recommend that the stockholders approve an increase in the number of authorized shares of our common stock to 275,000,000 shares), or the Charter Amendment Proposal and, together with the Conversion Proposal and the Nasdaq Proposals, the Company Stockholder Matters, (iv) the approval of (A) the 2026 Equity Incentive Plan, which will provide for new awards for a number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of shares of our common stock not exceeding the total of (x) 15% of our fully diluted shares of capital stock outstanding immediately after the 2026 Private Placement, plus (y) any shares covered by our outstanding awards granted under a prior equity incentive plan that, after the date the 2026 Equity Incentive Plan becomes effective, are not issued because the award expires or otherwise terminates without all of the shares covered by the award having been issued, are not issued because the award is settled in cash, are forfeited or repurchased because of the failure to vest, or are reacquired or withheld to satisfy a tax withholding obligation or the purchase or exercise price, and which will include an annual increase pursuant to an “evergreen” provision providing for an annual increase of up to 5% of the total number of our fully diluted shares of capital stock outstanding as of the day prior to such increase and (B) the 2026 Employee Stock Purchase Plan, with a total pool of shares of our common stock not exceeding 1% of our fully diluted shares of capital stock outstanding immediately after the 2026 Private Placement, and which shall include an annual increase pursuant to an “evergreen” provision providing for an annual increase of up to 1% of the total number of our fully diluted shares of capital stock outstanding as of the day prior to such increase and (v) such other changes or approvals as may be mutually agreed by us and Orphai. If we fail to receive sufficient proxies to constitute a quorum or to obtain the required vote on the Company Stockholder Matters and/or our Nasdaq Listing Application is not approved, we would be required to adjourn the meeting one or more times for up to 30 days per adjournment. If stockholder approval of the Company Stockholder Matters or approval of the Nasdaq Listing Application are still not obtained following such adjournment(s), we will be obligated to continue soliciting stockholder approval at subsequent annual or special meetings of our stockholders, held at intervals of no more than six months, until such approvals are obtained, which would be time consuming and costly.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can be no assurance that our legacy stockholders will approve the Company Stockholder Matters. If our legacy stockholders do not approve the Charter Amendment Proposal, we would be unable to issue the additional shares of our common stock necessary to complete the conversion of Series C Preferred Stock into our common stock, and may be unable to satisfy our other capital needs, which could have a material adverse effect on our business, financial condition, and prospects.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Additionally, if at any time after the earlier of (i) the approval of the Company Stockholder Matters or (ii) the date that is six months following the initial issuance date of the Series C Preferred Stock, we fail to deliver to the holders of the Series C Preferred Stock shares of common stock underlying such shares of Series C Preferred Stock, (other than in certain circumstances set forth in the Certificate of Designation, as defined below) the holders of the Series C Preferred Stock would be entitled to require us to settle such undelivered shares for cash in an amount equal to the fair value of such undelivered shares of Common Stock at such time, as described in the Certificate of Designation of Preferences, Rights and Limitations of the Series C Preferred Stock, or the Certificate of Designation. If we are forced to cash settle a significant amount of the shares of our common stock underlying the Series C Preferred Stock, it could materially affect our results of operations, business and financial condition.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Failure to obtain approval of the Nasdaq Listing Application could materially affect our results of operations, business and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Pursuant to the Merger Agreement, in order to permit the waiver of the beneficial ownership limitations applicable to the Series C Preferred Stock and take other actions following the consummation of the Acquisition, which would constitute a “change of control” under Nasdaq Listing Rule 5110(a), we are required to use our reasonable best efforts to file an initial listing application for our common stock on Nasdaq, or the Nasdaq Listing Application. The Nasdaq Listing Application must be conditionally approved prior to the date of our stockholder meeting to approve the Company Stockholder Matters. If we fail to meet the Nasdaq listing requirements and Nasdaq does not approve the Nasdaq Listing Application, we will be required to adjourn our stockholder meeting to approve the Company Stockholder Matters one or more times for up to 30 days per adjournment, continue to use our reasonable best efforts to obtain approval of the Nasdaq Listing Application and to continue soliciting stockholder approval of the Company Stockholder Matters at subsequent annual or special meetings of our stockholders, held at intervals of no more than six months, until such approval and the approval of the Company Stockholder Matters are obtained, which would be time consuming and costly. Additionally, if at any time after the earlier of (i) the approval of the Company Stockholder Matters or (ii) the date that is six months following the initial issuance date of the Series C Preferred Stock, we fail to deliver to the holders of the Series C Preferred Stock shares of common stock underlying such shares of Series C Preferred Stock, (other than in certain circumstances set forth in the Certificate of Designation) the holders of the Series C Preferred Stock would be entitled to require us to settle such undelivered shares for cash in an amount equal to the fair value of such undelivered shares of Common Stock at such time, as described in the Certificate of Designation. If we are forced to cash settle a significant amount of the shares of our common stock underlying the Series C Preferred Stock, it could materially affect our results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operations, business and financial condition. We cannot assure you that we will be able to meet Nasdaq’s initial listing standards. Furthermore, if we fail to obtain approval of the Nasdaq Listing Application, we may be unable to execute on our plans for the Company following the Acquisition, which could materially affect our results of operations, business and financial condition.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There is no guarantee that the Acquisition will increase stockholder value.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May 2026, we consummated the Acquisition, pursuant to which we acquired Orphai, and we closed the 2026 Private Placement. We cannot guarantee that implementing the Acquisition and related transactions will not impair stockholder value or otherwise adversely affect our business. The Acquisition poses significant integration challenges between our businesses and employees which could result in management and business disruptions, any of which could harm our results of operation, business prospects, and impair the value of the Acquisition to our stockholders.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The failure to successfully integrate the businesses of the Company and Orphai in the expected timeframe could adversely affect our results of operations, financial condition, and future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ability to successfully integrate the operations of the Company and Orphai will depend, in part, on our ability to realize the anticipated benefits from the Acquisition. If we are not able to achieve these objectives within the anticipated time frame, or at all, the anticipated benefits of the Acquisition may not be realized fully, or at all, or may take longer to realize than expected, and the value of our common stock may be adversely affected. In addition, the integration of the Company’s and Orphai’s respective businesses will be a time-consuming and expensive process. Proper planning and effective and timely implementation will be critical to avoid any significant disruption to our operations. There can be no assurance that we will effectively manage the increased complexity of our business without experiencing operating inefficiencies or control deficiencies. Delays encountered in the integration process could have a material adverse effect on our expenses, operating results and financial condition, including the value of shares of our common stock.</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expect to incur substantial expenses related to the integration of Orphai.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incurred, and expect to continue to incur, substantial expenses in connection with the Acquisition and the integration of Orphai. There are a large number of processes, policies, procedures, operations, technologies and systems that must be integrated, including accounting and finance, billing, payroll, and benefits. Both the Company and Orphai have incurred significant transaction expenses in connection with the drafting and negotiation of the Merger Agreement, and the related ancillary agreements.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integration expenses likely will result in our taking significant charges against earnings following the completion of the Acquisition, and the amount and timing of such charges are uncertain at present.</w:t>
      </w:r>
    </w:p>
    <w:p>
      <w:pPr>
        <w:pStyle w:val="TextBody"/>
        <w:bidi w:val="0"/>
        <w:spacing w:before="0" w:after="240"/>
        <w:jc w:val="both"/>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Our business, operations and clinical development plans and timelines, as well as the manufacturing, clinical trial and other business activities performed by us or by third parties with whom we conduct business, including our contract manufacturers, CROs, shippers, equipment suppliers and others, could be adversely affected by the effects of health epidemics.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business could be adversely affected by health epidemics wherever we have clinical trial sites or other business operations. In addition, health epidemics could cause significant disruption in the operations of third-party manufacturers, CROs and other third parties upon whom we rely. The effects of government orders may negatively impact productivity, disrupt our business and delay our clinical programs and timelines, the magnitude of which will depend, in part, on the length and severity of the restrictions and other limitations on our ability to conduct our business in the ordinary course.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our relationships with our suppliers or other vendors are terminated or scaled back as a result of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our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or experience additional restrictions by their institutions, city or state, our clinical trial operations could be adversely impacted.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If our information systems or data, or those of our collaborators, contractors, consultants or other third parties with whom we work, are or were compromised, we could experience adverse consequences, including but not limited to regulatory investigations or actions; litigation; fines and penalties; significant disruption of our product development programs and our ability to operate our business effectively; reputational harm; and other adverse consequences.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ordinary course of our business, we and the third parties with whom we work, process, collect, receive, store, process, generate, use, transfer, disclose, make accessible, protect, secure, dispose of, transmit, and share, or, collectively, process, proprietary, confidential, and sensitive data, including personal data, intellectual property, trade secrets and clinical trial data, or, collectively, sensitive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computer viruses, malicious or unintentional actions or inactions that cause vulnerabilities, malware, software or hardware failure, supply chain attacks, social engineering (including through deep fakes, which may be increasingly more difficult to identify as fake, and phishing), credential stuffing, ransomware, unauthorized access, attacks enhanced or facilitated by artificial intelligence, or AI, natural disasters, terrorism, war and telecommunication and electrical failures. In particular,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Future or past business transactions (such as acquisitions or mergers)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Remote work has increased risks to our information systems and data, as personnel utilize network connections, computers and devices outside of our premises or network.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operate our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in the past and may in the future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(or a third party with whom we work) experience a security incident or are perceived to have experienced a security incident, this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Such an actual or perceived security incident could also cause us to experience other adverse consequences, such as: loss of, or damage to, our data or applications, inappropriate disclosure of confidential or proprietary information, legal liability, exposure to litigation (including class claims) and regulatory enforcement action (for example, investigations, fines,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penalties, audits and inspections), additional reporting requirements and/or oversight, fines, penalties, indemnification obligations, harm to our competitive position, reputational damage, and delay in the further development and commercialization of our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pStyle w:val="TextBody"/>
        <w:bidi w:val="0"/>
        <w:spacing w:before="0" w:after="240"/>
        <w:jc w:val="both"/>
        <w:rPr>
          <w:rFonts w:ascii="Times New Roman" w:hAnsi="Times New Roman"/>
          <w:sz w:val="20"/>
        </w:rPr>
      </w:pPr>
      <w:r>
        <w:rPr>
          <w:rFonts w:ascii="Times New Roman" w:hAnsi="Times New Roman"/>
          <w:b/>
          <w:i/>
          <w:color w:val="000000"/>
          <w:sz w:val="20"/>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(or that of the third parties with whom we work) to comply with these obligations could lead to regulatory investigations or actions; litigation (including class claims) and mass arbitration demands; fines and penalties; disruptions of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ordinary course of business, we process personal data and other sensitive information.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privacy and data security laws, including federal and state health information privacy laws, federal and state security breach notification laws, federal and state consumer protection laws, and other similar laws (e.g., wiretapping laws). For example, at the federal level, HIPAA, as amended by HITECH, imposes specific requirements relating to the privacy, security and transmission of individually identifiable health information. Additionally,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subject to the CCPA to provide specific disclosures in privacy notices and respond to requests of such individuals to exercise certain rights concerning their personal data. The CCPA provides fines for noncompliance and a limited private right of action in connection with certain data breaches. While the CCPA and other U.S. state comprehensive consumer privacy laws exempt certain personal data processed in connection with clinical trials, these developments could further complicate compliance efforts, and increase legal risk and compliance costs for us and the third parties with whom we work should we become subject to these laws. Similar laws have been passed or are being considered in several other states, as well as at the federal and local levels, and we expect more governments to pass similar laws in the future. The evolving patchwork of local,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European Union’s General Data Protection Regulation (“EU GDPR”) the United Kingdom’s General Data Protection Regulation (“UK GDPR”) (collectively, “GDPR”), Brazil’s General Data Protection Law (Lei Geral de Proteção de Dados Pessoais, or “LGPD”) (Law No. 13,709/2018), and India’s Information Technology Act and supplementary rules, impose strict requirements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processing personal data. The EU GDPR governs the collection, use, disclosure, transfer or other processing of personal data of European Economic Area (“EEA”) residents. Among other things, the EU GDPR imposes requirements regarding the security of personal data and notification of data processing obligations to the competent national data processing authorities, changes the lawful bases on which personal data can be processed, expands the definition of personal data over prior EU law and requires changes to informed consent practices, as well as more detailed notices for clinical trial subjects and investigators. The EU GDPR also provides for substantial fines for breaches and violations (up to the greater of €20 million or 4% of annual global revenue). The EU GDPR also confers a private right of action on data subjects and consumer associations to lodge complaints with supervisory authorities, seek judicial remedies and obtain compensation for damages resulting from violations of the EU GDPR.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increasingly use artificial intelligence and machine learning tools across our operations and business functions, and we expect our use of such tools to expand over time. While we believe that the responsible use of AI tools can enhance our operational efficiency, these tools present risks that could adversely affect our business. AI-generated outputs may be inaccurate, incomplete, or misleading, and reliance on such outputs without adequate human oversight could result in errors in regulatory submissions, clinical or scientific analyses, contractual provisions, or public disclosures. In addition, the input of proprietary, confidential, or sensitive information into third-party AI platforms could result in the inadvertent disclosure of trade secrets, attorney-client privileged materials, or material nonpublic information. The regulatory landscape governing the use of AI in the life sciences and pharmaceutical industries is rapidly evolving, and new laws, regulations, or guidance — including those arising from the current administration’s policy initiatives — could impose additional compliance obligations, restrict certain uses of AI tools, or increase our exposure to regulatory enforcement actions or litigation. Any failure to adequately govern our use of AI tools could result in reputational harm, regulatory scrutiny, or legal liability. In the ordinary course of business, we may transfer personal data from Europe and other jurisdictions to the United States or other countries as part of ordinary course clinical trials.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to data privacy and security laws, we are and may in the future become bound by contractual obligations and industry standards related to data privacy and security, and our efforts to comply with such obligations may not be successful. We publish privacy policies and other statements regarding data privacy and security. Regulators are increasingly scrutinizing these statements, and if these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Obligations related to data privacy and security (and consumers’ data privacy obligations) are quickly changing, becoming increasingly stringent,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data on our behalf. In addition, these obligations may require us to change aspects of our business model or our clinical trials.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endeavor to comply with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 claims) and mass arbitration demands; additional reporting requirements and/or oversight; bans or restrictions on processing personal data; orders to destroy or not use personal data; and/or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240"/>
        <w:jc w:val="both"/>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operations, and those of our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 Our ability to obtain clinical supplies of our product candidates could be disrupted if the operations of these suppliers are affected by a man-made or natural disaster or other business interruption. </w:t>
      </w:r>
    </w:p>
    <w:p>
      <w:pPr>
        <w:pStyle w:val="TextBody"/>
        <w:bidi w:val="0"/>
        <w:spacing w:before="0" w:after="240"/>
        <w:jc w:val="both"/>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the price and trading volume of our common stock could decline.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equity research analysts publish about us and our business. As a public company, we have only limited research coverage by equity research analysts. Equity research analysts may elect not to initiate or continue to provide research coverage of our common stock, and such lack of research coverage may adversely affect the market price of our common stock. Even if we continue to have equity research analyst coverage, we will not have any control over the analysts or the content and opinions included in their reports. The price of our common stock could decline if one or more equity research analysts downgrade our common stock or issue other unfavorable commentary or research about us. If one or more equity research analysts ceases coverage of us or fails to publish reports on us regularly, demand for our common stock could decrease, which in turn could cause the trading price or trading volume of our common stock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4" w:name="unregistered_sales_of_equity_securities"/>
      <w:bookmarkEnd w:id="24"/>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5" w:name="defaults_upon_senior_securities"/>
      <w:bookmarkEnd w:id="25"/>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6" w:name="item_4_mine_safety_disclosures"/>
      <w:bookmarkEnd w:id="26"/>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7" w:name="item_5_other_information"/>
      <w:bookmarkEnd w:id="27"/>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8" w:name="item_6_exhibits"/>
      <w:bookmarkEnd w:id="28"/>
      <w:r>
        <w:rPr>
          <w:rFonts w:ascii="Times New Roman" w:hAnsi="Times New Roman"/>
          <w:b/>
          <w:color w:val="000000"/>
          <w:sz w:val="20"/>
        </w:rPr>
        <w:t>Item 6.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exhibits filed or furnished as part of this Quarterly Report on Form 10-Q are set forth on the Exhibit Index and such Exhibit Index is incorporated herein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566"/>
        <w:gridCol w:w="146"/>
        <w:gridCol w:w="586"/>
        <w:gridCol w:w="146"/>
        <w:gridCol w:w="729"/>
        <w:gridCol w:w="146"/>
        <w:gridCol w:w="850"/>
        <w:gridCol w:w="146"/>
        <w:gridCol w:w="933"/>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May 17, 2026, by and among Quince Therapeutics, Inc., Phoenix Merger Sub I, Inc., Phoenix Merger Sub II, LLC, Orphai Therapeutics, LLC, and Orphai Holdings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5/18/2026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001-38890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5/13/2019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the registrant’s Certificate of Incorporation, effective August 1,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Amended and Restated Certificate of Incorporation</w:t>
              </w:r>
            </w:hyperlink>
            <w:hyperlink r:id="rId7">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6/26/2026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Amendment to 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Certificate of Designation of Series C Non-Voting Convertible Preferred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5/18/2026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001-38890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Warrant to Purchase Series C Non-Voting Convertible Preferred Stock or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5/18/2026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001-38890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Securities Purchase Agreement, dated as of May 18, 2026, by and among Quince Therapeutics, Inc. and each investor listed on Exhibit A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5/18/2026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001-38890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2"/>
        <w:gridCol w:w="146"/>
        <w:gridCol w:w="6769"/>
        <w:gridCol w:w="146"/>
        <w:gridCol w:w="322"/>
        <w:gridCol w:w="146"/>
        <w:gridCol w:w="691"/>
        <w:gridCol w:w="146"/>
        <w:gridCol w:w="773"/>
        <w:gridCol w:w="146"/>
        <w:gridCol w:w="288"/>
      </w:tblGrid>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Registration Rights Agreement, by and among Quince Therapeutics, Inc. and certain investors signatory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5/18/2026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001-38890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Employment Letter between the Company and Brigette Roberts, effective May 18,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5/18/2026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001-38890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Employment Letter between Orphai Therapeutics Inc. and Brigette Roberts, effective May 12,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5/18/2026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001-38890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Retention Bonus Agreement dated May 17, 2026 between the Company and Dirk Thye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5/18/2026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001-38890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Retention Bonus Agreement dated May 17, 2026 between the Company and Brendan Hannah</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5/18/2026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001-38890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hyperlink w:anchor="qncx-ex10_7.htm">
              <w:r>
                <w:rPr>
                  <w:rStyle w:val="InternetLink"/>
                  <w:rFonts w:ascii="Times New Roman" w:hAnsi="Times New Roman"/>
                  <w:color w:val="0000FF"/>
                  <w:sz w:val="20"/>
                  <w:u w:val="single"/>
                </w:rPr>
                <w:t>License and Supply Agreement, dated May 14, 2026, by and between Plastiape S.p.A. and Orphai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hyperlink w:anchor="qncx-ex31_1.htm">
              <w:r>
                <w:rPr>
                  <w:rStyle w:val="InternetLink"/>
                  <w:rFonts w:ascii="Times New Roman" w:hAnsi="Times New Roman"/>
                  <w:color w:val="0000FF"/>
                  <w:sz w:val="20"/>
                  <w:u w:val="single"/>
                </w:rPr>
                <w:t>Certification of Principal Executive Officer pursuant to Rules 13a-14(a) and Rule 15d-14(a) of the Exchange Act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hyperlink w:anchor="qncx-ex31_2.htm">
              <w:r>
                <w:rPr>
                  <w:rStyle w:val="InternetLink"/>
                  <w:rFonts w:ascii="Times New Roman" w:hAnsi="Times New Roman"/>
                  <w:color w:val="0000FF"/>
                  <w:sz w:val="20"/>
                  <w:u w:val="single"/>
                </w:rPr>
                <w:t>Certification of Principal Financial Officer pursuant to Rules 13a-14(a) and Rule 15d-14(a) of the Exchange Act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hyperlink w:anchor="qncx-ex32_1.htm">
              <w:r>
                <w:rPr>
                  <w:rStyle w:val="InternetLink"/>
                  <w:rFonts w:ascii="Times New Roman" w:hAnsi="Times New Roman"/>
                  <w:color w:val="0000FF"/>
                  <w:sz w:val="20"/>
                  <w:u w:val="single"/>
                </w:rPr>
                <w:t>Certification of Principal Executive Officer pursuant to Rule 13a-14(b) of the Exchange Act and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hyperlink w:anchor="qncx-ex32_2.htm">
              <w:r>
                <w:rPr>
                  <w:rStyle w:val="InternetLink"/>
                  <w:rFonts w:ascii="Times New Roman" w:hAnsi="Times New Roman"/>
                  <w:color w:val="0000FF"/>
                  <w:sz w:val="20"/>
                  <w:u w:val="single"/>
                </w:rPr>
                <w:t>Certification of Principal Financial Officer pursuant to Rule 13a-14(b) of the Exchange Act and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jc w:val="left"/>
        <w:rPr>
          <w:rFonts w:ascii="Times New Roman" w:hAnsi="Times New Roman"/>
          <w:color w:val="000000"/>
          <w:sz w:val="20"/>
        </w:rPr>
      </w:pPr>
      <w:r>
        <w:rPr>
          <w:rFonts w:ascii="Times New Roman" w:hAnsi="Times New Roman"/>
          <w:color w:val="000000"/>
          <w:sz w:val="20"/>
        </w:rPr>
        <w:t> Portions of this agreement (indicated by asterisks) have been omitted because the registrant has determined they are not material and would likely cause competitive harm to the registrant if publicly disclosed.</w:t>
      </w:r>
    </w:p>
    <w:p>
      <w:pPr>
        <w:pStyle w:val="TextBody"/>
        <w:bidi w:val="0"/>
        <w:jc w:val="left"/>
        <w:rPr>
          <w:rFonts w:ascii="Times New Roman" w:hAnsi="Times New Roman"/>
          <w:color w:val="000000"/>
          <w:sz w:val="20"/>
        </w:rPr>
      </w:pPr>
      <w:r>
        <w:rPr>
          <w:rFonts w:ascii="Times New Roman" w:hAnsi="Times New Roman"/>
          <w:color w:val="000000"/>
          <w:sz w:val="20"/>
        </w:rPr>
        <w:t>* Certain schedules, annexes, and attachments have been omitted pursuant to Item 601(a)(5) of Regulation S-K. The Company agrees to provide, on a supplemental basis, a copy of any omitted schedules and attachments to the Securities and Exchange Commission or its staff upon request.</w:t>
      </w:r>
    </w:p>
    <w:p>
      <w:pPr>
        <w:pStyle w:val="TextBody"/>
        <w:bidi w:val="0"/>
        <w:jc w:val="left"/>
        <w:rPr>
          <w:rFonts w:ascii="Times New Roman" w:hAnsi="Times New Roman"/>
          <w:color w:val="000000"/>
          <w:sz w:val="20"/>
        </w:rPr>
      </w:pPr>
      <w:r>
        <w:rPr>
          <w:rFonts w:ascii="Times New Roman" w:hAnsi="Times New Roman"/>
          <w:color w:val="000000"/>
          <w:sz w:val="20"/>
        </w:rPr>
        <w:t xml:space="preserve"># 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Quarterly Report on Form 10-Q and will not be deemed “filed” for purpose of Section 18 of the Exchange Act. Such certifications will not be deemed to be incorporated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into any filing under the Securities Act or the Exchange Act, except to the extent that the registrant specifically incorporates it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9" w:name="signatures"/>
      <w:bookmarkEnd w:id="2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838" w:type="dxa"/>
        <w:jc w:val="left"/>
        <w:tblInd w:w="0" w:type="dxa"/>
        <w:tblLayout w:type="fixed"/>
        <w:tblCellMar>
          <w:top w:w="28" w:type="dxa"/>
          <w:left w:w="28" w:type="dxa"/>
          <w:bottom w:w="28" w:type="dxa"/>
          <w:right w:w="28" w:type="dxa"/>
        </w:tblCellMar>
      </w:tblPr>
      <w:tblGrid>
        <w:gridCol w:w="1951"/>
        <w:gridCol w:w="406"/>
        <w:gridCol w:w="648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Quince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Dirk Thye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Dirk Thye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Chief Medical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Brendan Hannah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Brendan Hannah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Business Officer, Chief Operating Officer, and Chief Compliance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spacing w:before="0" w:after="240"/>
        <w:jc w:val="right"/>
        <w:rPr/>
      </w:pPr>
      <w:bookmarkStart w:id="30" w:name="qncx-ex10_7.htm"/>
      <w:bookmarkStart w:id="31" w:name="ksqncxex10_7"/>
      <w:bookmarkEnd w:id="30"/>
      <w:bookmarkEnd w:id="31"/>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IS THE TYPE OF INFORMATION THAT THE REGISTRANT TREATS AS PRIVATE OR CONFIDENTIAL.</w:t>
      </w:r>
    </w:p>
    <w:p>
      <w:pPr>
        <w:pStyle w:val="TextBody"/>
        <w:bidi w:val="0"/>
        <w:spacing w:before="0" w:after="480"/>
        <w:jc w:val="center"/>
        <w:rPr>
          <w:rFonts w:ascii="Times New Roman" w:hAnsi="Times New Roman"/>
          <w:b/>
          <w:caps/>
          <w:color w:val="000000"/>
          <w:sz w:val="20"/>
          <w:u w:val="single"/>
        </w:rPr>
      </w:pPr>
      <w:r>
        <w:rPr>
          <w:rFonts w:ascii="Times New Roman" w:hAnsi="Times New Roman"/>
          <w:b/>
          <w:caps/>
          <w:color w:val="000000"/>
          <w:sz w:val="20"/>
          <w:u w:val="single"/>
        </w:rPr>
        <w:t>LICENSE AND SUPPLY AGREEMENT</w:t>
      </w:r>
    </w:p>
    <w:p>
      <w:pPr>
        <w:pStyle w:val="TextBody"/>
        <w:bidi w:val="0"/>
        <w:spacing w:before="0" w:after="240"/>
        <w:jc w:val="both"/>
        <w:rPr>
          <w:rFonts w:ascii="Times New Roman" w:hAnsi="Times New Roman"/>
          <w:sz w:val="20"/>
        </w:rPr>
      </w:pPr>
      <w:r>
        <w:rPr>
          <w:rFonts w:ascii="Times New Roman" w:hAnsi="Times New Roman"/>
          <w:color w:val="000000"/>
          <w:sz w:val="20"/>
        </w:rPr>
        <w:t>This License and Supply Agreement (the “</w:t>
      </w:r>
      <w:r>
        <w:rPr>
          <w:rFonts w:ascii="Times New Roman" w:hAnsi="Times New Roman"/>
          <w:b/>
          <w:color w:val="000000"/>
          <w:sz w:val="20"/>
        </w:rPr>
        <w:t>Agreement</w:t>
      </w:r>
      <w:r>
        <w:rPr>
          <w:rFonts w:ascii="Times New Roman" w:hAnsi="Times New Roman"/>
          <w:color w:val="000000"/>
          <w:sz w:val="20"/>
        </w:rPr>
        <w:t>”), dated as of May 14th, 2026 (“</w:t>
      </w:r>
      <w:r>
        <w:rPr>
          <w:rFonts w:ascii="Times New Roman" w:hAnsi="Times New Roman"/>
          <w:b/>
          <w:color w:val="000000"/>
          <w:sz w:val="20"/>
        </w:rPr>
        <w:t>Effective Date</w:t>
      </w:r>
      <w:r>
        <w:rPr>
          <w:rFonts w:ascii="Times New Roman" w:hAnsi="Times New Roman"/>
          <w:color w:val="000000"/>
          <w:sz w:val="20"/>
        </w:rPr>
        <w:t>”), is by and between:</w:t>
      </w:r>
    </w:p>
    <w:p>
      <w:pPr>
        <w:pStyle w:val="TextBody"/>
        <w:bidi w:val="0"/>
        <w:spacing w:before="0" w:after="240"/>
        <w:jc w:val="both"/>
        <w:rPr>
          <w:rFonts w:ascii="Times New Roman" w:hAnsi="Times New Roman"/>
          <w:sz w:val="20"/>
        </w:rPr>
      </w:pPr>
      <w:r>
        <w:rPr>
          <w:rFonts w:ascii="Times New Roman" w:hAnsi="Times New Roman"/>
          <w:b/>
          <w:color w:val="000000"/>
          <w:sz w:val="20"/>
        </w:rPr>
        <w:t>PLASTIAPE S.p.A.</w:t>
      </w:r>
      <w:r>
        <w:rPr>
          <w:rFonts w:ascii="Times New Roman" w:hAnsi="Times New Roman"/>
          <w:color w:val="000000"/>
          <w:sz w:val="20"/>
        </w:rPr>
        <w:t>, organized and existing under the laws of Italy, registered with the Trade Register of Lecco under number 00231050139 with offices at via 1° Maggio, 8, I-23875 Osnago, Italy, duly represented by its Managing Director, Mr. Alfredo Masuello (the “</w:t>
      </w:r>
      <w:r>
        <w:rPr>
          <w:rFonts w:ascii="Times New Roman" w:hAnsi="Times New Roman"/>
          <w:b/>
          <w:color w:val="000000"/>
          <w:sz w:val="20"/>
        </w:rPr>
        <w:t>Supplier</w:t>
      </w:r>
      <w:r>
        <w:rPr>
          <w:rFonts w:ascii="Times New Roman" w:hAnsi="Times New Roman"/>
          <w:color w:val="000000"/>
          <w:sz w:val="20"/>
        </w:rPr>
        <w:t>”); and</w:t>
      </w:r>
    </w:p>
    <w:p>
      <w:pPr>
        <w:pStyle w:val="TextBody"/>
        <w:bidi w:val="0"/>
        <w:spacing w:before="0" w:after="240"/>
        <w:jc w:val="both"/>
        <w:rPr>
          <w:rFonts w:ascii="Times New Roman" w:hAnsi="Times New Roman"/>
          <w:sz w:val="20"/>
        </w:rPr>
      </w:pPr>
      <w:r>
        <w:rPr>
          <w:rFonts w:ascii="Times New Roman" w:hAnsi="Times New Roman"/>
          <w:b/>
          <w:color w:val="000000"/>
          <w:sz w:val="20"/>
        </w:rPr>
        <w:t>ORPHAI THERAPEUTICS, Inc</w:t>
      </w:r>
      <w:r>
        <w:rPr>
          <w:rFonts w:ascii="Times New Roman" w:hAnsi="Times New Roman"/>
          <w:color w:val="000000"/>
          <w:sz w:val="20"/>
        </w:rPr>
        <w:t>, organized and existing under the laws of Delaware, having a principal place of business at 530 Old Whitfield Street, Guilford, Connecticut 06437, duly represented by its Chief Financial Officer, Mr. Paul Boni (the “</w:t>
      </w:r>
      <w:r>
        <w:rPr>
          <w:rFonts w:ascii="Times New Roman" w:hAnsi="Times New Roman"/>
          <w:b/>
          <w:color w:val="000000"/>
          <w:sz w:val="20"/>
        </w:rPr>
        <w:t>Customer</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Supplier and Customer may be referred to individually as “</w:t>
      </w:r>
      <w:r>
        <w:rPr>
          <w:rFonts w:ascii="Times New Roman" w:hAnsi="Times New Roman"/>
          <w:b/>
          <w:color w:val="000000"/>
          <w:sz w:val="20"/>
        </w:rPr>
        <w:t>Party</w:t>
      </w:r>
      <w:r>
        <w:rPr>
          <w:rFonts w:ascii="Times New Roman" w:hAnsi="Times New Roman"/>
          <w:color w:val="000000"/>
          <w:sz w:val="20"/>
        </w:rPr>
        <w:t>” and collectively as “</w:t>
      </w:r>
      <w:r>
        <w:rPr>
          <w:rFonts w:ascii="Times New Roman" w:hAnsi="Times New Roman"/>
          <w:b/>
          <w:color w:val="000000"/>
          <w:sz w:val="20"/>
        </w:rPr>
        <w:t>Parties</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u w:val="single"/>
        </w:rPr>
      </w:pPr>
      <w:r>
        <w:rPr>
          <w:rFonts w:ascii="Times New Roman" w:hAnsi="Times New Roman"/>
          <w:b/>
          <w:color w:val="000000"/>
          <w:sz w:val="20"/>
          <w:u w:val="single"/>
        </w:rPr>
        <w:t>PREAMBLE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Supplier is engaged in the design, manufacture and supply of inhalation devices.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Customer is a biotechnology company that develops pharmaceutical products.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Customer wishes to purchase the device(s) manufactured by Supplier and Supplier is willing to sell such Products to Customer, on the terms and conditions set out in this Agreement.</w:t>
      </w:r>
    </w:p>
    <w:p>
      <w:pPr>
        <w:pStyle w:val="TextBody"/>
        <w:bidi w:val="0"/>
        <w:spacing w:before="0" w:after="240"/>
        <w:jc w:val="both"/>
        <w:rPr>
          <w:rFonts w:ascii="Times New Roman" w:hAnsi="Times New Roman"/>
          <w:b/>
          <w:color w:val="000000"/>
          <w:sz w:val="20"/>
          <w:u w:val="single"/>
        </w:rPr>
      </w:pPr>
      <w:r>
        <w:rPr>
          <w:rFonts w:ascii="Times New Roman" w:hAnsi="Times New Roman"/>
          <w:b/>
          <w:color w:val="000000"/>
          <w:sz w:val="20"/>
          <w:u w:val="single"/>
        </w:rPr>
        <w:t>THEREFORE,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240"/>
        <w:jc w:val="both"/>
        <w:rPr/>
      </w:pPr>
      <w:r>
        <w:rPr>
          <w:color w:val="000000"/>
        </w:rPr>
        <w:t>“</w:t>
      </w:r>
      <w:r>
        <w:rPr>
          <w:rFonts w:ascii="Times New Roman" w:hAnsi="Times New Roman"/>
          <w:b/>
          <w:color w:val="000000"/>
          <w:sz w:val="20"/>
        </w:rPr>
        <w:t>Affiliate(s)</w:t>
      </w:r>
      <w:r>
        <w:rPr>
          <w:rFonts w:ascii="Times New Roman" w:hAnsi="Times New Roman"/>
          <w:color w:val="000000"/>
          <w:sz w:val="20"/>
        </w:rPr>
        <w:t>” means, with respect to a Party, any legal entity that directly or indirectly Controls, is Controlled by, or is under common Control with that Party, now or in the future. For purposes of this definition only, “</w:t>
      </w:r>
      <w:r>
        <w:rPr>
          <w:rFonts w:ascii="Times New Roman" w:hAnsi="Times New Roman"/>
          <w:b/>
          <w:color w:val="000000"/>
          <w:sz w:val="20"/>
        </w:rPr>
        <w:t>Control</w:t>
      </w:r>
      <w:r>
        <w:rPr>
          <w:rFonts w:ascii="Times New Roman" w:hAnsi="Times New Roman"/>
          <w:color w:val="000000"/>
          <w:sz w:val="20"/>
        </w:rPr>
        <w:t>” means, with respect to an Affiliate, directly or indirectly, (a) ownership of more than fifty percent (50%) of the voting securities or other voting interests of an entity; or (b) the right to appoint or remove a majority of the members of its board of directors (or equivalent governing body); or (c) the power to direct the management or policies of such entity, whether through ownership, by contract or otherwise. For clarity, ordinary minority-investor protective veto rights alone do not constitute Control.</w:t>
      </w:r>
    </w:p>
    <w:p>
      <w:pPr>
        <w:pStyle w:val="TextBody"/>
        <w:bidi w:val="0"/>
        <w:spacing w:before="0" w:after="240"/>
        <w:jc w:val="both"/>
        <w:rPr/>
      </w:pPr>
      <w:r>
        <w:rPr>
          <w:color w:val="000000"/>
        </w:rPr>
        <w:t>“</w:t>
      </w:r>
      <w:r>
        <w:rPr>
          <w:rFonts w:ascii="Times New Roman" w:hAnsi="Times New Roman"/>
          <w:b/>
          <w:color w:val="000000"/>
          <w:sz w:val="20"/>
        </w:rPr>
        <w:t>Contract Year</w:t>
      </w:r>
      <w:r>
        <w:rPr>
          <w:rFonts w:ascii="Times New Roman" w:hAnsi="Times New Roman"/>
          <w:color w:val="000000"/>
          <w:sz w:val="20"/>
        </w:rPr>
        <w:t>” shall mean the twelve (12) month period during the Term commencing on January 1 and ending on December 31 of each calendar year; provided, however that the first Contract Year shall be the period beginning on the Effective Date and ending on December 31st in the calendar year in which the Effective Date occurs and the last Contract Year shall be the period beginning on January 1 and ending on the effective date of expiration or termination of this Agreement.</w:t>
      </w:r>
    </w:p>
    <w:p>
      <w:pPr>
        <w:pStyle w:val="TextBody"/>
        <w:bidi w:val="0"/>
        <w:spacing w:before="0" w:after="240"/>
        <w:jc w:val="both"/>
        <w:rPr/>
      </w:pPr>
      <w:r>
        <w:rPr>
          <w:color w:val="000000"/>
        </w:rPr>
        <w:t>“</w:t>
      </w:r>
      <w:r>
        <w:rPr>
          <w:rFonts w:ascii="Times New Roman" w:hAnsi="Times New Roman"/>
          <w:b/>
          <w:color w:val="000000"/>
          <w:sz w:val="20"/>
        </w:rPr>
        <w:t>Control</w:t>
      </w:r>
      <w:r>
        <w:rPr>
          <w:rFonts w:ascii="Times New Roman" w:hAnsi="Times New Roman"/>
          <w:color w:val="000000"/>
          <w:sz w:val="20"/>
        </w:rPr>
        <w:t>” shall mean, with respect to Intellectual Property Rights and regulatory documentation (including Registrations), that a Party or one of its Affiliates owns or has a license or sublicense to such Intellectual Property Rights or regulatory documentation and has the ability to provide to, grant a license or sublicense to, or assign its right, title and interest in and to, such Intellectual Property Rights or documentation as provided for in this Agreement without violating the terms of any other agreement or other arrangement with any third party.</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Customer’s Finished Product</w:t>
      </w:r>
      <w:r>
        <w:rPr>
          <w:rFonts w:ascii="Times New Roman" w:hAnsi="Times New Roman"/>
          <w:color w:val="000000"/>
          <w:sz w:val="20"/>
        </w:rPr>
        <w:t>” means any medicinal product, medical device, or drug–device combination product developed, assembled, filled, packaged, labelled, tested, released, marketed, or otherwise supplied by Customer, into which the Product is incorporated or with which the Product is intended to be used. Customer’s Finished Product includes all drug substances, excipients, formulations, components, packaging labelling, stability data, clinical performance, regulatory submissions, and post-market obligations relating to such product, all of which remain under Customer’s sole responsibility.</w:t>
      </w:r>
    </w:p>
    <w:p>
      <w:pPr>
        <w:pStyle w:val="TextBody"/>
        <w:bidi w:val="0"/>
        <w:spacing w:before="0" w:after="240"/>
        <w:jc w:val="both"/>
        <w:rPr/>
      </w:pPr>
      <w:r>
        <w:rPr>
          <w:color w:val="000000"/>
        </w:rPr>
        <w:t>“</w:t>
      </w:r>
      <w:r>
        <w:rPr>
          <w:rFonts w:ascii="Times New Roman" w:hAnsi="Times New Roman"/>
          <w:b/>
          <w:color w:val="000000"/>
          <w:sz w:val="20"/>
        </w:rPr>
        <w:t>Exclusivity Fee</w:t>
      </w:r>
      <w:r>
        <w:rPr>
          <w:rFonts w:ascii="Times New Roman" w:hAnsi="Times New Roman"/>
          <w:color w:val="000000"/>
          <w:sz w:val="20"/>
        </w:rPr>
        <w:t>” means [*].</w:t>
      </w:r>
    </w:p>
    <w:p>
      <w:pPr>
        <w:pStyle w:val="TextBody"/>
        <w:bidi w:val="0"/>
        <w:spacing w:before="0" w:after="240"/>
        <w:jc w:val="both"/>
        <w:rPr/>
      </w:pPr>
      <w:r>
        <w:rPr>
          <w:color w:val="000000"/>
        </w:rPr>
        <w:t>“</w:t>
      </w:r>
      <w:r>
        <w:rPr>
          <w:rFonts w:ascii="Times New Roman" w:hAnsi="Times New Roman"/>
          <w:b/>
          <w:color w:val="000000"/>
          <w:sz w:val="20"/>
        </w:rPr>
        <w:t>Exclusivity Minimum Retention Quantities</w:t>
      </w:r>
      <w:r>
        <w:rPr>
          <w:rFonts w:ascii="Times New Roman" w:hAnsi="Times New Roman"/>
          <w:color w:val="000000"/>
          <w:sz w:val="20"/>
        </w:rPr>
        <w:t xml:space="preserve">” means, with respect to each Post-Launch Exclusivity Year, for each Molecule/API in </w:t>
      </w:r>
      <w:r>
        <w:rPr>
          <w:rFonts w:ascii="Times New Roman" w:hAnsi="Times New Roman"/>
          <w:color w:val="000000"/>
          <w:sz w:val="20"/>
          <w:u w:val="single"/>
        </w:rPr>
        <w:t>Schedule 2</w:t>
      </w:r>
      <w:r>
        <w:rPr>
          <w:rFonts w:ascii="Times New Roman" w:hAnsi="Times New Roman"/>
          <w:color w:val="000000"/>
          <w:sz w:val="20"/>
        </w:rPr>
        <w:t xml:space="preserve">, the minimum quantity of the Product that Customer must order under P.O.s in such Post-Launch Exclusivity Year (or as may be agreed between the Parties) to retain exclusivity, measured in the units specified for each Molecule/API in </w:t>
      </w:r>
      <w:r>
        <w:rPr>
          <w:rFonts w:ascii="Times New Roman" w:hAnsi="Times New Roman"/>
          <w:color w:val="000000"/>
          <w:sz w:val="20"/>
          <w:u w:val="single"/>
        </w:rPr>
        <w:t>Schedule 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Exclusivity Term</w:t>
      </w:r>
      <w:r>
        <w:rPr>
          <w:rFonts w:ascii="Times New Roman" w:hAnsi="Times New Roman"/>
          <w:color w:val="000000"/>
          <w:sz w:val="20"/>
        </w:rPr>
        <w:t xml:space="preserve">” means, for each Molecule/API granted exclusivity, the period commencing on the Effective Date and continuing for the duration specified in </w:t>
      </w:r>
      <w:r>
        <w:rPr>
          <w:rFonts w:ascii="Times New Roman" w:hAnsi="Times New Roman"/>
          <w:color w:val="000000"/>
          <w:sz w:val="20"/>
          <w:u w:val="single"/>
        </w:rPr>
        <w:t>Schedule 2</w:t>
      </w:r>
      <w:r>
        <w:rPr>
          <w:rFonts w:ascii="Times New Roman" w:hAnsi="Times New Roman"/>
          <w:color w:val="000000"/>
          <w:sz w:val="20"/>
        </w:rPr>
        <w:t>, unless earlier terminated or lapses in accordance with Section 3.3.4.; provided that any Exclusivity Minimum Retention Quantities apply only after Launch.</w:t>
      </w:r>
    </w:p>
    <w:p>
      <w:pPr>
        <w:pStyle w:val="TextBody"/>
        <w:bidi w:val="0"/>
        <w:spacing w:before="0" w:after="240"/>
        <w:jc w:val="both"/>
        <w:rPr/>
      </w:pPr>
      <w:r>
        <w:rPr>
          <w:color w:val="000000"/>
        </w:rPr>
        <w:t>“</w:t>
      </w:r>
      <w:r>
        <w:rPr>
          <w:rFonts w:ascii="Times New Roman" w:hAnsi="Times New Roman"/>
          <w:b/>
          <w:color w:val="000000"/>
          <w:sz w:val="20"/>
        </w:rPr>
        <w:t>Indication/Field</w:t>
      </w:r>
      <w:r>
        <w:rPr>
          <w:rFonts w:ascii="Times New Roman" w:hAnsi="Times New Roman"/>
          <w:color w:val="000000"/>
          <w:sz w:val="20"/>
        </w:rPr>
        <w:t xml:space="preserve">” means, if specified in </w:t>
      </w:r>
      <w:r>
        <w:rPr>
          <w:rFonts w:ascii="Times New Roman" w:hAnsi="Times New Roman"/>
          <w:color w:val="000000"/>
          <w:sz w:val="20"/>
          <w:u w:val="single"/>
        </w:rPr>
        <w:t>Schedule 2</w:t>
      </w:r>
      <w:r>
        <w:rPr>
          <w:rFonts w:ascii="Times New Roman" w:hAnsi="Times New Roman"/>
          <w:color w:val="000000"/>
          <w:sz w:val="20"/>
        </w:rPr>
        <w:t>, the disease area, condition, or labelled use that narrows the scope of a Molecule/API exclusivity.</w:t>
      </w:r>
    </w:p>
    <w:p>
      <w:pPr>
        <w:pStyle w:val="TextBody"/>
        <w:bidi w:val="0"/>
        <w:spacing w:before="0" w:after="240"/>
        <w:jc w:val="both"/>
        <w:rPr/>
      </w:pPr>
      <w:r>
        <w:rPr>
          <w:color w:val="000000"/>
        </w:rPr>
        <w:t>“</w:t>
      </w:r>
      <w:r>
        <w:rPr>
          <w:rFonts w:ascii="Times New Roman" w:hAnsi="Times New Roman"/>
          <w:b/>
          <w:color w:val="000000"/>
          <w:sz w:val="20"/>
        </w:rPr>
        <w:t>Launch</w:t>
      </w:r>
      <w:r>
        <w:rPr>
          <w:rFonts w:ascii="Times New Roman" w:hAnsi="Times New Roman"/>
          <w:color w:val="000000"/>
          <w:sz w:val="20"/>
        </w:rPr>
        <w:t>” shall mean, with respect to the Product, the date on which Customer’s Finished Product is first shipped for commercial sale by Customer to a third party in the Territory.</w:t>
      </w:r>
    </w:p>
    <w:p>
      <w:pPr>
        <w:pStyle w:val="TextBody"/>
        <w:bidi w:val="0"/>
        <w:spacing w:before="0" w:after="240"/>
        <w:jc w:val="both"/>
        <w:rPr/>
      </w:pPr>
      <w:r>
        <w:rPr>
          <w:color w:val="000000"/>
        </w:rPr>
        <w:t>“</w:t>
      </w:r>
      <w:r>
        <w:rPr>
          <w:rFonts w:ascii="Times New Roman" w:hAnsi="Times New Roman"/>
          <w:b/>
          <w:color w:val="000000"/>
          <w:sz w:val="20"/>
        </w:rPr>
        <w:t>Measurement Period</w:t>
      </w:r>
      <w:r>
        <w:rPr>
          <w:rFonts w:ascii="Times New Roman" w:hAnsi="Times New Roman"/>
          <w:color w:val="000000"/>
          <w:sz w:val="20"/>
        </w:rPr>
        <w:t xml:space="preserve">” means each Post-Launch Exclusivity Year, unless otherwise stated for a Molecule/API in </w:t>
      </w:r>
      <w:r>
        <w:rPr>
          <w:rFonts w:ascii="Times New Roman" w:hAnsi="Times New Roman"/>
          <w:color w:val="000000"/>
          <w:sz w:val="20"/>
          <w:u w:val="single"/>
        </w:rPr>
        <w:t>Schedule 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Notified Body</w:t>
      </w:r>
      <w:r>
        <w:rPr>
          <w:rFonts w:ascii="Times New Roman" w:hAnsi="Times New Roman"/>
          <w:color w:val="000000"/>
          <w:sz w:val="20"/>
        </w:rPr>
        <w:t>” means a conformity assessment body designated by an EU Member State and notified to the European Commission under Regulation (EU) 2017/745 (MDR) to perform conformity assessments, technical documentation reviews, surveillance activities and unannounced audits for medical devices.</w:t>
      </w:r>
    </w:p>
    <w:p>
      <w:pPr>
        <w:pStyle w:val="TextBody"/>
        <w:bidi w:val="0"/>
        <w:spacing w:before="0" w:after="240"/>
        <w:jc w:val="both"/>
        <w:rPr/>
      </w:pPr>
      <w:r>
        <w:rPr>
          <w:color w:val="000000"/>
        </w:rPr>
        <w:t>“</w:t>
      </w:r>
      <w:r>
        <w:rPr>
          <w:rFonts w:ascii="Times New Roman" w:hAnsi="Times New Roman"/>
          <w:b/>
          <w:color w:val="000000"/>
          <w:sz w:val="20"/>
        </w:rPr>
        <w:t>Post-Launch Exclusivity Year</w:t>
      </w:r>
      <w:r>
        <w:rPr>
          <w:rFonts w:ascii="Times New Roman" w:hAnsi="Times New Roman"/>
          <w:color w:val="000000"/>
          <w:sz w:val="20"/>
        </w:rPr>
        <w:t>” means each successive twelve (12) -month period commencing on the first anniversary of Launch and each anniversary thereof.</w:t>
      </w:r>
    </w:p>
    <w:p>
      <w:pPr>
        <w:pStyle w:val="TextBody"/>
        <w:bidi w:val="0"/>
        <w:spacing w:before="0" w:after="240"/>
        <w:jc w:val="both"/>
        <w:rPr/>
      </w:pPr>
      <w:r>
        <w:rPr>
          <w:color w:val="000000"/>
        </w:rPr>
        <w:t>“</w:t>
      </w:r>
      <w:r>
        <w:rPr>
          <w:rFonts w:ascii="Times New Roman" w:hAnsi="Times New Roman"/>
          <w:b/>
          <w:color w:val="000000"/>
          <w:sz w:val="20"/>
        </w:rPr>
        <w:t>Product</w:t>
      </w:r>
      <w:r>
        <w:rPr>
          <w:rFonts w:ascii="Times New Roman" w:hAnsi="Times New Roman"/>
          <w:color w:val="000000"/>
          <w:sz w:val="20"/>
        </w:rPr>
        <w:t xml:space="preserve">” means Supplier’s [*] inhalation devices as further described in </w:t>
      </w:r>
      <w:r>
        <w:rPr>
          <w:rFonts w:ascii="Times New Roman" w:hAnsi="Times New Roman"/>
          <w:color w:val="000000"/>
          <w:sz w:val="20"/>
          <w:u w:val="single"/>
        </w:rPr>
        <w:t>Schedule 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Registration</w:t>
      </w:r>
      <w:r>
        <w:rPr>
          <w:rFonts w:ascii="Times New Roman" w:hAnsi="Times New Roman"/>
          <w:color w:val="000000"/>
          <w:sz w:val="20"/>
        </w:rPr>
        <w:t>” means any marketing authorization, listing, import license, filing, notification, or similar approval required to place the Product on the market in a jurisdiction.</w:t>
      </w:r>
    </w:p>
    <w:p>
      <w:pPr>
        <w:pStyle w:val="TextBody"/>
        <w:bidi w:val="0"/>
        <w:spacing w:before="0" w:after="240"/>
        <w:jc w:val="both"/>
        <w:rPr/>
      </w:pPr>
      <w:r>
        <w:rPr>
          <w:color w:val="000000"/>
        </w:rPr>
        <w:t>“</w:t>
      </w:r>
      <w:r>
        <w:rPr>
          <w:rFonts w:ascii="Times New Roman" w:hAnsi="Times New Roman"/>
          <w:b/>
          <w:color w:val="000000"/>
          <w:sz w:val="20"/>
        </w:rPr>
        <w:t>Registration Cost Sharing Addendum</w:t>
      </w:r>
      <w:r>
        <w:rPr>
          <w:rFonts w:ascii="Times New Roman" w:hAnsi="Times New Roman"/>
          <w:color w:val="000000"/>
          <w:sz w:val="20"/>
        </w:rPr>
        <w:t>” means a short addendum or purchase order that specifies the country(ies), activities, timelines, and Customer’s participation in relevant costs for Registration outside the Territory of Registration.</w:t>
      </w:r>
    </w:p>
    <w:p>
      <w:pPr>
        <w:pStyle w:val="TextBody"/>
        <w:bidi w:val="0"/>
        <w:spacing w:before="0" w:after="240"/>
        <w:jc w:val="both"/>
        <w:rPr/>
      </w:pPr>
      <w:r>
        <w:rPr>
          <w:color w:val="000000"/>
        </w:rPr>
        <w:t>“</w:t>
      </w:r>
      <w:r>
        <w:rPr>
          <w:rFonts w:ascii="Times New Roman" w:hAnsi="Times New Roman"/>
          <w:b/>
          <w:color w:val="000000"/>
          <w:sz w:val="20"/>
        </w:rPr>
        <w:t>Reserved Molecules</w:t>
      </w:r>
      <w:r>
        <w:rPr>
          <w:rFonts w:ascii="Times New Roman" w:hAnsi="Times New Roman"/>
          <w:color w:val="000000"/>
          <w:sz w:val="20"/>
        </w:rPr>
        <w:t>” means the molecules/active pharmaceutical ingredients (“</w:t>
      </w:r>
      <w:r>
        <w:rPr>
          <w:rFonts w:ascii="Times New Roman" w:hAnsi="Times New Roman"/>
          <w:b/>
          <w:color w:val="000000"/>
          <w:sz w:val="20"/>
        </w:rPr>
        <w:t>APIs</w:t>
      </w:r>
      <w:r>
        <w:rPr>
          <w:rFonts w:ascii="Times New Roman" w:hAnsi="Times New Roman"/>
          <w:color w:val="000000"/>
          <w:sz w:val="20"/>
        </w:rPr>
        <w:t xml:space="preserve">”) listed in </w:t>
      </w:r>
      <w:r>
        <w:rPr>
          <w:rFonts w:ascii="Times New Roman" w:hAnsi="Times New Roman"/>
          <w:color w:val="000000"/>
          <w:sz w:val="20"/>
          <w:u w:val="single"/>
        </w:rPr>
        <w:t>Schedule 2</w:t>
      </w:r>
      <w:r>
        <w:rPr>
          <w:rFonts w:ascii="Times New Roman" w:hAnsi="Times New Roman"/>
          <w:color w:val="000000"/>
          <w:sz w:val="20"/>
        </w:rPr>
        <w:t xml:space="preserve"> for which Supplier has pre-existing exclusivity commitments to third parties, or which Supplier otherwise restricts from use with the Product by this Customer, for the period stated.</w:t>
      </w:r>
    </w:p>
    <w:p>
      <w:pPr>
        <w:pStyle w:val="TextBody"/>
        <w:bidi w:val="0"/>
        <w:spacing w:before="0" w:after="240"/>
        <w:jc w:val="both"/>
        <w:rPr/>
      </w:pPr>
      <w:r>
        <w:rPr>
          <w:color w:val="000000"/>
        </w:rPr>
        <w:t>“</w:t>
      </w:r>
      <w:r>
        <w:rPr>
          <w:rFonts w:ascii="Times New Roman" w:hAnsi="Times New Roman"/>
          <w:b/>
          <w:color w:val="000000"/>
          <w:sz w:val="20"/>
        </w:rPr>
        <w:t>Regulatory Authority</w:t>
      </w:r>
      <w:r>
        <w:rPr>
          <w:rFonts w:ascii="Times New Roman" w:hAnsi="Times New Roman"/>
          <w:color w:val="000000"/>
          <w:sz w:val="20"/>
        </w:rPr>
        <w:t>” means any governmental authority responsible for regulating medical devices, medicinal products, drug–device combination products, or related manufacturing activities in a given jurisdiction, including without limitation the FDA (USA), MHRA (UK), CDSCO (India), EMA (EU), and any EU Competent Authority.</w:t>
      </w:r>
    </w:p>
    <w:p>
      <w:pPr>
        <w:pStyle w:val="TextBody"/>
        <w:bidi w:val="0"/>
        <w:spacing w:before="0" w:after="240"/>
        <w:jc w:val="both"/>
        <w:rPr/>
      </w:pPr>
      <w:r>
        <w:rPr>
          <w:color w:val="000000"/>
        </w:rPr>
        <w:t>“</w:t>
      </w:r>
      <w:r>
        <w:rPr>
          <w:rFonts w:ascii="Times New Roman" w:hAnsi="Times New Roman"/>
          <w:b/>
          <w:color w:val="000000"/>
          <w:sz w:val="20"/>
        </w:rPr>
        <w:t>Specifications</w:t>
      </w:r>
      <w:r>
        <w:rPr>
          <w:rFonts w:ascii="Times New Roman" w:hAnsi="Times New Roman"/>
          <w:color w:val="000000"/>
          <w:sz w:val="20"/>
        </w:rPr>
        <w:t xml:space="preserve">” means the technical specifications applicable to the Products as set forth in </w:t>
      </w:r>
      <w:r>
        <w:rPr>
          <w:rFonts w:ascii="Times New Roman" w:hAnsi="Times New Roman"/>
          <w:color w:val="000000"/>
          <w:sz w:val="20"/>
          <w:u w:val="single"/>
        </w:rPr>
        <w:t>Schedule 1</w:t>
      </w:r>
      <w:r>
        <w:rPr>
          <w:rFonts w:ascii="Times New Roman" w:hAnsi="Times New Roman"/>
          <w:color w:val="000000"/>
          <w:sz w:val="20"/>
        </w:rPr>
        <w:t>.</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Territory</w:t>
      </w:r>
      <w:r>
        <w:rPr>
          <w:rFonts w:ascii="Times New Roman" w:hAnsi="Times New Roman"/>
          <w:color w:val="000000"/>
          <w:sz w:val="20"/>
        </w:rPr>
        <w:t>” means worldwide.</w:t>
      </w:r>
    </w:p>
    <w:p>
      <w:pPr>
        <w:pStyle w:val="TextBody"/>
        <w:bidi w:val="0"/>
        <w:spacing w:before="0" w:after="240"/>
        <w:jc w:val="both"/>
        <w:rPr/>
      </w:pPr>
      <w:r>
        <w:rPr>
          <w:color w:val="000000"/>
        </w:rPr>
        <w:t>“</w:t>
      </w:r>
      <w:r>
        <w:rPr>
          <w:rFonts w:ascii="Times New Roman" w:hAnsi="Times New Roman"/>
          <w:b/>
          <w:color w:val="000000"/>
          <w:sz w:val="20"/>
        </w:rPr>
        <w:t>Territory of Registration</w:t>
      </w:r>
      <w:r>
        <w:rPr>
          <w:rFonts w:ascii="Times New Roman" w:hAnsi="Times New Roman"/>
          <w:color w:val="000000"/>
          <w:sz w:val="20"/>
        </w:rPr>
        <w:t>” means the jurisdictions in which the Product is registered or otherwise lawfully placed on the market by Supplier as legal manufacturer, currently consisting of [*]. At Customer’s written request, Supplier may support the registration or placing on the market of the Product in additional jurisdictions, subject to Supplier’s prior written acceptance and the Parties’ good-faith agreement on all applicable regulatory, technical and cost responsibilities, including any regulatory agent fees, governmental fees, testing, samples, translations and Supplier’s service fees. Supplier shall have no obligation to obtain, maintain or renew registrations outside the Territory of Registration unless expressly agreed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SUPPLY OF PRODUCT – SUBCONTRACTING - PURCHASE ORDERS - PURCHASE ORDER’S WITHDRAWAL OR CANCELLATION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Capacity-based Supply Commitment - Subcontracting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2.1.1</w:t>
      </w:r>
    </w:p>
    <w:p>
      <w:pPr>
        <w:pStyle w:val="TextBody"/>
        <w:bidi w:val="0"/>
        <w:spacing w:before="0" w:after="240"/>
        <w:jc w:val="both"/>
        <w:rPr/>
      </w:pPr>
      <w:r>
        <w:rPr>
          <w:rFonts w:ascii="Times New Roman" w:hAnsi="Times New Roman"/>
          <w:color w:val="000000"/>
          <w:sz w:val="20"/>
          <w:u w:val="single"/>
        </w:rPr>
        <w:t>Capacity-based Supply Commitment</w:t>
      </w:r>
      <w:r>
        <w:rPr>
          <w:rFonts w:ascii="Times New Roman" w:hAnsi="Times New Roman"/>
          <w:color w:val="000000"/>
          <w:sz w:val="20"/>
        </w:rPr>
        <w:t>. Supplier shall manufacture and supply to Customer (and/or its Affiliates and other designees, as applicable), and Customer (and/or its Affiliates and other designees, as applicable) agrees to purchase from Supplier, Customer’s (and/or its Affiliate’s and/or other designee’s, as applicable) orders for Product during the Term as set forth in a P.O. (defined below) hereunder, in accordance with the terms and conditions of this Agreement. Notwithstanding the foregoing but subject to Supplier’s obligations of exclusivity and to supply each accepted P.O., Supplier’s obligation to supply Products is subject at all times to Supplier’s designed manufacturing capacity. Supplier shall not be required to (i) expand or modify its manufacturing facilities, (ii) operate beyond normal operating conditions, or (iii) prioritize Customer over other customers in order to meet Customer’s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2.1.2</w:t>
      </w:r>
    </w:p>
    <w:p>
      <w:pPr>
        <w:pStyle w:val="TextBody"/>
        <w:bidi w:val="0"/>
        <w:spacing w:before="0" w:after="240"/>
        <w:jc w:val="both"/>
        <w:rPr/>
      </w:pPr>
      <w:r>
        <w:rPr>
          <w:rFonts w:ascii="Times New Roman" w:hAnsi="Times New Roman"/>
          <w:color w:val="000000"/>
          <w:sz w:val="20"/>
          <w:u w:val="single"/>
        </w:rPr>
        <w:t>Subcontracting</w:t>
      </w:r>
      <w:r>
        <w:rPr>
          <w:rFonts w:ascii="Times New Roman" w:hAnsi="Times New Roman"/>
          <w:color w:val="000000"/>
          <w:sz w:val="20"/>
        </w:rPr>
        <w:t>. Supplier shall not subcontract any of its manufacturing obligations hereunder without the prior written consent of Customer, such consent not to be unreasonably withheld, conditioned or delayed. With respect to any manufacturing subcontracting, Supplier shall remain responsible for all obligations hereunder and fully guarantees and warrants the related performance (in accordance with this Agreement) of any responsibilities so subcontracted. Without limiting the foregoing, Supplier shall cause any and all such subcontractors (including any Affiliates or third parties) to comply with the terms and conditions of this Agreement (including with respect to any and all audit and inspection rights of Customer), and such subcontractors shall be so bound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w:t>
      </w:r>
    </w:p>
    <w:p>
      <w:pPr>
        <w:pStyle w:val="TextBody"/>
        <w:bidi w:val="0"/>
        <w:spacing w:before="0" w:after="240"/>
        <w:jc w:val="both"/>
        <w:rPr/>
      </w:pPr>
      <w:r>
        <w:rPr>
          <w:rFonts w:ascii="Times New Roman" w:hAnsi="Times New Roman"/>
          <w:color w:val="000000"/>
          <w:sz w:val="20"/>
          <w:u w:val="single"/>
        </w:rPr>
        <w:t>Purchase Order Submission and Acceptance Process</w:t>
      </w:r>
      <w:r>
        <w:rPr>
          <w:rFonts w:ascii="Times New Roman" w:hAnsi="Times New Roman"/>
          <w:color w:val="000000"/>
          <w:sz w:val="20"/>
        </w:rPr>
        <w:t>. Customer may order Products from time to time by submitting written purchase orders (each, a “</w:t>
      </w:r>
      <w:r>
        <w:rPr>
          <w:rFonts w:ascii="Times New Roman" w:hAnsi="Times New Roman"/>
          <w:b/>
          <w:color w:val="000000"/>
          <w:sz w:val="20"/>
        </w:rPr>
        <w:t>P.O</w:t>
      </w:r>
      <w:r>
        <w:rPr>
          <w:rFonts w:ascii="Times New Roman" w:hAnsi="Times New Roman"/>
          <w:color w:val="000000"/>
          <w:sz w:val="20"/>
        </w:rPr>
        <w:t>.”) specifying the type and quantity of Products being ordered, the desired delivery date, and the delivery location. Each P.O. constitutes an offer by Customer to purchase the Products from Supplier in accordance with and subject to the terms of this Agreement. Within [*] following receipt of a P.O., Supplier shall notify Customer in writing whether such P.O. is accepted in full, accepted in part, or rejected. Supplier shall use reasonable best efforts to accept each P.O. submitted by Customer. If Supplier rejects a P.O., Supplier shall, at the time of such rejection, provide written notice setting forth a reasonable explanation for such rejection. If Supplier fails to provide such written explanation, Supplier shall be obligated to accept such P.O. No P.O. shall be binding upon Supplier unless and until accepted by Supplier in writing. Upon Supplier’s acceptance of a P.O., whether in full or in part, Supplier shall manufacture and supply the accepted quantities of Products in accordance with the terms of this Agreement and the applicable P.O. confirmation.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w:t>
      </w:r>
    </w:p>
    <w:p>
      <w:pPr>
        <w:pStyle w:val="TextBody"/>
        <w:bidi w:val="0"/>
        <w:spacing w:before="0" w:after="240"/>
        <w:jc w:val="both"/>
        <w:rPr/>
      </w:pPr>
      <w:r>
        <w:rPr>
          <w:rFonts w:ascii="Times New Roman" w:hAnsi="Times New Roman"/>
          <w:color w:val="000000"/>
          <w:sz w:val="20"/>
          <w:u w:val="single"/>
        </w:rPr>
        <w:t>Priority of Agreement Over P.O. Terms</w:t>
      </w:r>
      <w:r>
        <w:rPr>
          <w:rFonts w:ascii="Times New Roman" w:hAnsi="Times New Roman"/>
          <w:color w:val="000000"/>
          <w:sz w:val="20"/>
        </w:rPr>
        <w:t>. Customer acknowledges that all standard terms and conditions in P.O.s are superseded by this Agreement, are objected to and shall be of no effect, unless expressly accepted by Supplier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2.4</w:t>
      </w:r>
    </w:p>
    <w:p>
      <w:pPr>
        <w:pStyle w:val="TextBody"/>
        <w:bidi w:val="0"/>
        <w:spacing w:before="0" w:after="240"/>
        <w:jc w:val="both"/>
        <w:rPr/>
      </w:pPr>
      <w:r>
        <w:rPr>
          <w:rFonts w:ascii="Times New Roman" w:hAnsi="Times New Roman"/>
          <w:color w:val="000000"/>
          <w:sz w:val="20"/>
          <w:u w:val="single"/>
        </w:rPr>
        <w:t>Estimated Delivery Date</w:t>
      </w:r>
      <w:r>
        <w:rPr>
          <w:rFonts w:ascii="Times New Roman" w:hAnsi="Times New Roman"/>
          <w:color w:val="000000"/>
          <w:sz w:val="20"/>
        </w:rPr>
        <w:t xml:space="preserve">. Upon acceptance of a P.O., Supplier shall as soon as practicable inform Customer of the delivery date of the Products. Supplier shall use its best efforts to deliver the Products on the indicated </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3</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delivery date and within the indicative manufacturing lead-time (subject to the terms of Schedule 4). The indicative manufacturing lead-time is set forth in Schedule 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2.5</w:t>
      </w:r>
    </w:p>
    <w:p>
      <w:pPr>
        <w:pStyle w:val="TextBody"/>
        <w:bidi w:val="0"/>
        <w:spacing w:before="0" w:after="240"/>
        <w:jc w:val="both"/>
        <w:rPr/>
      </w:pPr>
      <w:r>
        <w:rPr>
          <w:rFonts w:ascii="Times New Roman" w:hAnsi="Times New Roman"/>
          <w:color w:val="000000"/>
          <w:sz w:val="20"/>
          <w:u w:val="single"/>
        </w:rPr>
        <w:t>Withdrawal or Cancellation of P.O</w:t>
      </w:r>
      <w:r>
        <w:rPr>
          <w:rFonts w:ascii="Times New Roman" w:hAnsi="Times New Roman"/>
          <w:color w:val="000000"/>
          <w:sz w:val="20"/>
        </w:rPr>
        <w:t>. Customer may withdraw or cancel a P.O. only before it is accepted in writing by Supplier and provided Supplier has not commenced manufacturing of the Products covered by such P.O. In no event may Customer withdraw or cancel a P.O. after Supplier’s acceptance or after manufacturing has commenced. Notwithstanding the foregoing, if Customer cancels or defers a P.O. with less than the aforementioned notice, then Supplier agrees to use commercially reasonable efforts to comply with such unplanned changes (including to use best efforts to minimize any amounts that would otherwise be payable by Customer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FORECAST – MINIMUM PURCHASE COMMITMENT – EXCLUSIVITY AND INDICATION-SPECIFIC RESTRICTIONS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3.1</w:t>
      </w:r>
    </w:p>
    <w:p>
      <w:pPr>
        <w:pStyle w:val="TextBody"/>
        <w:bidi w:val="0"/>
        <w:spacing w:before="0" w:after="240"/>
        <w:jc w:val="both"/>
        <w:rPr/>
      </w:pPr>
      <w:r>
        <w:rPr>
          <w:rFonts w:ascii="Times New Roman" w:hAnsi="Times New Roman"/>
          <w:color w:val="000000"/>
          <w:sz w:val="20"/>
          <w:u w:val="single"/>
        </w:rPr>
        <w:t>Forecast</w:t>
      </w:r>
      <w:r>
        <w:rPr>
          <w:rFonts w:ascii="Times New Roman" w:hAnsi="Times New Roman"/>
          <w:color w:val="000000"/>
          <w:sz w:val="20"/>
        </w:rPr>
        <w:t>. Commencing [*] prior to anticipated Launch, Customer shall submit to Supplier, on a rolling basis no less frequently than once every [*], a forecast of the estimated volume to be purchased with respect to each Product for the following [*] period (the “</w:t>
      </w:r>
      <w:r>
        <w:rPr>
          <w:rFonts w:ascii="Times New Roman" w:hAnsi="Times New Roman"/>
          <w:b/>
          <w:color w:val="000000"/>
          <w:sz w:val="20"/>
        </w:rPr>
        <w:t>Forecast</w:t>
      </w:r>
      <w:r>
        <w:rPr>
          <w:color w:val="000000"/>
        </w:rPr>
        <w:t>”</w:t>
      </w:r>
      <w:r>
        <w:rPr>
          <w:rFonts w:ascii="Times New Roman" w:hAnsi="Times New Roman"/>
          <w:color w:val="000000"/>
          <w:sz w:val="20"/>
        </w:rPr>
        <w:t>). Customer shall prepare the Forecast in good faith and using reasonable commercial assumptions and shall promptly notify Supplier of any material anticipated deviation. The Forecast shall be non-binding and shall not constitute a commitment to purchase or to manufacture Products. Only P.O.s accepted by Supplier in writing shall be binding. Supplier shall use the Forecast solely for capacity and production planning and shall use commercially reasonable efforts to ensure availability of manufacturing capacity to accept P.O.s submitted in line with the Forecast. P.O.s submitted within [*] of the applicable Forecasted quantities shall be given priority acceptance and shall not be rejected due to capacity constraints. For the avoidance of doubt, batch size, batch documentation, quality and regulatory release activities are determined exclusively based on accepted P.O.s and shall not be initiated on the basis of any Forecast.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3.2</w:t>
      </w:r>
    </w:p>
    <w:p>
      <w:pPr>
        <w:pStyle w:val="TextBody"/>
        <w:bidi w:val="0"/>
        <w:spacing w:before="0" w:after="240"/>
        <w:jc w:val="both"/>
        <w:rPr/>
      </w:pPr>
      <w:r>
        <w:rPr>
          <w:rFonts w:ascii="Times New Roman" w:hAnsi="Times New Roman"/>
          <w:color w:val="000000"/>
          <w:sz w:val="20"/>
          <w:u w:val="single"/>
        </w:rPr>
        <w:t>Minimum Purchase Commitment</w:t>
      </w:r>
      <w:r>
        <w:rPr>
          <w:rFonts w:ascii="Times New Roman" w:hAnsi="Times New Roman"/>
          <w:color w:val="000000"/>
          <w:sz w:val="20"/>
        </w:rPr>
        <w:t>. Supplier and Customer may agree on a minimum quantity of Products to be purchased over a certain period of time (the “</w:t>
      </w:r>
      <w:r>
        <w:rPr>
          <w:rFonts w:ascii="Times New Roman" w:hAnsi="Times New Roman"/>
          <w:b/>
          <w:color w:val="000000"/>
          <w:sz w:val="20"/>
        </w:rPr>
        <w:t>Minimum Purchase Commitment</w:t>
      </w:r>
      <w:r>
        <w:rPr>
          <w:color w:val="000000"/>
        </w:rPr>
        <w:t>”</w:t>
      </w:r>
      <w:r>
        <w:rPr>
          <w:rFonts w:ascii="Times New Roman" w:hAnsi="Times New Roman"/>
          <w:color w:val="000000"/>
          <w:sz w:val="20"/>
        </w:rPr>
        <w:t>), as it may be specified in Schedule 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w:t>
      </w:r>
    </w:p>
    <w:p>
      <w:pPr>
        <w:pStyle w:val="TextBody"/>
        <w:bidi w:val="0"/>
        <w:spacing w:before="0" w:after="240"/>
        <w:jc w:val="both"/>
        <w:rPr/>
      </w:pPr>
      <w:r>
        <w:rPr>
          <w:rFonts w:ascii="Times New Roman" w:hAnsi="Times New Roman"/>
          <w:color w:val="000000"/>
          <w:sz w:val="20"/>
          <w:u w:val="single"/>
        </w:rPr>
        <w:t>Exclusivity and indication specific restrictions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3.3.1</w:t>
      </w:r>
    </w:p>
    <w:p>
      <w:pPr>
        <w:pStyle w:val="TextBody"/>
        <w:bidi w:val="0"/>
        <w:spacing w:before="0" w:after="240"/>
        <w:jc w:val="both"/>
        <w:rPr/>
      </w:pPr>
      <w:r>
        <w:rPr>
          <w:rFonts w:ascii="Times New Roman" w:hAnsi="Times New Roman"/>
          <w:color w:val="000000"/>
          <w:sz w:val="20"/>
          <w:u w:val="single"/>
        </w:rPr>
        <w:t>No Implied Exclusivity</w:t>
      </w:r>
      <w:r>
        <w:rPr>
          <w:rFonts w:ascii="Times New Roman" w:hAnsi="Times New Roman"/>
          <w:color w:val="000000"/>
          <w:sz w:val="20"/>
        </w:rPr>
        <w:t xml:space="preserve">. Except as expressly stated in this Section 3.3 and </w:t>
      </w:r>
      <w:r>
        <w:rPr>
          <w:rFonts w:ascii="Times New Roman" w:hAnsi="Times New Roman"/>
          <w:color w:val="000000"/>
          <w:sz w:val="20"/>
          <w:u w:val="single"/>
        </w:rPr>
        <w:t>Schedule 2</w:t>
      </w:r>
      <w:r>
        <w:rPr>
          <w:color w:val="000000"/>
        </w:rPr>
        <w:t xml:space="preserve"> </w:t>
      </w:r>
      <w:r>
        <w:rPr>
          <w:rFonts w:ascii="Times New Roman" w:hAnsi="Times New Roman"/>
          <w:color w:val="000000"/>
          <w:sz w:val="20"/>
        </w:rPr>
        <w:t>(Exclusivity &amp; Indication Specific Restrictions), nothing in this Agreement shall be construed as granting Customer any exclusivity, field restriction, or supply commitment.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3.3.2</w:t>
      </w:r>
    </w:p>
    <w:p>
      <w:pPr>
        <w:pStyle w:val="TextBody"/>
        <w:bidi w:val="0"/>
        <w:spacing w:before="0" w:after="240"/>
        <w:jc w:val="both"/>
        <w:rPr/>
      </w:pPr>
      <w:r>
        <w:rPr>
          <w:rFonts w:ascii="Times New Roman" w:hAnsi="Times New Roman"/>
          <w:color w:val="000000"/>
          <w:sz w:val="20"/>
          <w:u w:val="single"/>
        </w:rPr>
        <w:t>Grant and Scope of Exclusivity</w:t>
      </w:r>
      <w:r>
        <w:rPr>
          <w:rFonts w:ascii="Times New Roman" w:hAnsi="Times New Roman"/>
          <w:color w:val="000000"/>
          <w:sz w:val="20"/>
        </w:rPr>
        <w:t xml:space="preserve">. Subject to Sections 3.3.4 and 3.3.5 and </w:t>
      </w:r>
      <w:r>
        <w:rPr>
          <w:rFonts w:ascii="Times New Roman" w:hAnsi="Times New Roman"/>
          <w:color w:val="000000"/>
          <w:sz w:val="20"/>
          <w:u w:val="single"/>
        </w:rPr>
        <w:t>Schedule 2</w:t>
      </w:r>
      <w:r>
        <w:rPr>
          <w:rFonts w:ascii="Times New Roman" w:hAnsi="Times New Roman"/>
          <w:color w:val="000000"/>
          <w:sz w:val="20"/>
        </w:rPr>
        <w:t xml:space="preserve">, Supplier and its Affiliates hereby grant to Customer an exclusive right, during the Exclusivity Term, to purchase the Product solely for use with the applicable Molecule/API for the applicable Indication/Field in the Territory as further stated in </w:t>
      </w:r>
      <w:r>
        <w:rPr>
          <w:rFonts w:ascii="Times New Roman" w:hAnsi="Times New Roman"/>
          <w:color w:val="000000"/>
          <w:sz w:val="20"/>
          <w:u w:val="single"/>
        </w:rPr>
        <w:t>Schedule 2</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3.3.3</w:t>
      </w:r>
    </w:p>
    <w:p>
      <w:pPr>
        <w:pStyle w:val="TextBody"/>
        <w:bidi w:val="0"/>
        <w:spacing w:before="0" w:after="240"/>
        <w:jc w:val="both"/>
        <w:rPr/>
      </w:pPr>
      <w:r>
        <w:rPr>
          <w:rFonts w:ascii="Times New Roman" w:hAnsi="Times New Roman"/>
          <w:color w:val="000000"/>
          <w:sz w:val="20"/>
          <w:u w:val="single"/>
        </w:rPr>
        <w:t>Protection of Exclusivity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3.3.3.1</w:t>
      </w:r>
    </w:p>
    <w:p>
      <w:pPr>
        <w:pStyle w:val="TextBody"/>
        <w:bidi w:val="0"/>
        <w:spacing w:before="0" w:after="240"/>
        <w:jc w:val="both"/>
        <w:rPr/>
      </w:pPr>
      <w:r>
        <w:rPr>
          <w:rFonts w:ascii="Times New Roman" w:hAnsi="Times New Roman"/>
          <w:color w:val="000000"/>
          <w:sz w:val="20"/>
          <w:u w:val="single"/>
        </w:rPr>
        <w:t>No Conflicting Rights as of the Effective Date</w:t>
      </w:r>
      <w:r>
        <w:rPr>
          <w:rFonts w:ascii="Times New Roman" w:hAnsi="Times New Roman"/>
          <w:color w:val="000000"/>
          <w:sz w:val="20"/>
        </w:rPr>
        <w:t>. Supplier and its Affiliates represent and warrant that, as of the Effective Date, neither Supplier nor its Affiliates has granted to any third party any right, license or option under any Intellectual Property Rights Controlled by Supplier or its Affiliates that would enable such third party to make or have made the Product for the Molecule/API in the Territory.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3.3.3.2</w:t>
      </w:r>
    </w:p>
    <w:p>
      <w:pPr>
        <w:pStyle w:val="TextBody"/>
        <w:bidi w:val="0"/>
        <w:spacing w:before="0" w:after="240"/>
        <w:jc w:val="both"/>
        <w:rPr/>
      </w:pPr>
      <w:r>
        <w:rPr>
          <w:rFonts w:ascii="Times New Roman" w:hAnsi="Times New Roman"/>
          <w:color w:val="000000"/>
          <w:sz w:val="20"/>
          <w:u w:val="single"/>
        </w:rPr>
        <w:t>Exclusivity Covenant</w:t>
      </w:r>
      <w:r>
        <w:rPr>
          <w:rFonts w:ascii="Times New Roman" w:hAnsi="Times New Roman"/>
          <w:color w:val="000000"/>
          <w:sz w:val="20"/>
        </w:rPr>
        <w:t xml:space="preserve">. Supplier and its Affiliates hereby covenant that, during the Exclusivity Term applicable to the applicable Molecule/API, neither Supplier nor its Affiliates shall: (i) supply the Product to any third party for use with such Molecule/API in the Territory, or; (ii) grant to any third party any right, license or option under any </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4</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Intellectual Property Rights Controlled by Supplier or its Affiliates that would enable such third party to make or have made the Product for such Molecule/API in the Territory.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3.3.4</w:t>
      </w:r>
    </w:p>
    <w:p>
      <w:pPr>
        <w:pStyle w:val="TextBody"/>
        <w:bidi w:val="0"/>
        <w:spacing w:before="0" w:after="240"/>
        <w:jc w:val="both"/>
        <w:rPr/>
      </w:pPr>
      <w:r>
        <w:rPr>
          <w:rFonts w:ascii="Times New Roman" w:hAnsi="Times New Roman"/>
          <w:color w:val="000000"/>
          <w:sz w:val="20"/>
          <w:u w:val="single"/>
        </w:rPr>
        <w:t>Conditions to Exclusivity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3.3.4.1</w:t>
      </w:r>
    </w:p>
    <w:p>
      <w:pPr>
        <w:pStyle w:val="TextBody"/>
        <w:bidi w:val="0"/>
        <w:spacing w:before="0" w:after="240"/>
        <w:jc w:val="both"/>
        <w:rPr/>
      </w:pPr>
      <w:r>
        <w:rPr>
          <w:rFonts w:ascii="Times New Roman" w:hAnsi="Times New Roman"/>
          <w:color w:val="000000"/>
          <w:sz w:val="20"/>
          <w:u w:val="single"/>
        </w:rPr>
        <w:t>Compliance with Exclusivity Minimum Retention Quantities</w:t>
      </w:r>
      <w:r>
        <w:rPr>
          <w:rFonts w:ascii="Times New Roman" w:hAnsi="Times New Roman"/>
          <w:color w:val="000000"/>
          <w:sz w:val="20"/>
        </w:rPr>
        <w:t xml:space="preserve">. As a condition to the grant and continued effectiveness of exclusivity under this Agreement after Launch, Customer shall, for each applicable Molecule/API and Measurement Period, comply with the Exclusivity Minimum Retention Quantities set forth in </w:t>
      </w:r>
      <w:r>
        <w:rPr>
          <w:rFonts w:ascii="Times New Roman" w:hAnsi="Times New Roman"/>
          <w:color w:val="000000"/>
          <w:sz w:val="20"/>
          <w:u w:val="single"/>
        </w:rPr>
        <w:t>Schedule 2</w:t>
      </w:r>
      <w:r>
        <w:rPr>
          <w:rFonts w:ascii="Times New Roman" w:hAnsi="Times New Roman"/>
          <w:color w:val="000000"/>
          <w:sz w:val="20"/>
        </w:rPr>
        <w:t>, subject to the cure rights and exceptions set forth in this Section 3.3.4.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3.3.4.2</w:t>
      </w:r>
    </w:p>
    <w:p>
      <w:pPr>
        <w:pStyle w:val="TextBody"/>
        <w:bidi w:val="0"/>
        <w:spacing w:before="0" w:after="240"/>
        <w:jc w:val="both"/>
        <w:rPr/>
      </w:pPr>
      <w:r>
        <w:rPr>
          <w:rFonts w:ascii="Times New Roman" w:hAnsi="Times New Roman"/>
          <w:color w:val="000000"/>
          <w:sz w:val="20"/>
          <w:u w:val="single"/>
        </w:rPr>
        <w:t>Failure to Achieve Minimum Retention; Cure</w:t>
      </w:r>
      <w:r>
        <w:rPr>
          <w:rFonts w:ascii="Times New Roman" w:hAnsi="Times New Roman"/>
          <w:color w:val="000000"/>
          <w:sz w:val="20"/>
        </w:rPr>
        <w:t>. If Customer fails to achieve the Exclusivity Minimum Retention Quantities for any Measurement Period (a “</w:t>
      </w:r>
      <w:r>
        <w:rPr>
          <w:rFonts w:ascii="Times New Roman" w:hAnsi="Times New Roman"/>
          <w:b/>
          <w:color w:val="000000"/>
          <w:sz w:val="20"/>
        </w:rPr>
        <w:t>Shortfall</w:t>
      </w:r>
      <w:r>
        <w:rPr>
          <w:color w:val="000000"/>
        </w:rPr>
        <w:t>”</w:t>
      </w:r>
      <w:r>
        <w:rPr>
          <w:rFonts w:ascii="Times New Roman" w:hAnsi="Times New Roman"/>
          <w:color w:val="000000"/>
          <w:sz w:val="20"/>
        </w:rPr>
        <w:t>), exclusivity for the relevant Molecule/API shall lapse unless Customer cures such failure by either: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The Exclusivity Fee constitutes a pre-agreed commercial fee solely for the maintenance of exclusivity [*]. Payment of the Exclusivity Fee shall not require manufacture or supply of Products and shall be exclusive of VAT or similar indirect taxes. For the avoidance of doubt, payment of an Exclusivity Fee permits Customer to maintain exclusivity but shall not reinstate exclusivity once lost.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3.3.4.3</w:t>
      </w:r>
    </w:p>
    <w:p>
      <w:pPr>
        <w:pStyle w:val="TextBody"/>
        <w:bidi w:val="0"/>
        <w:spacing w:before="0" w:after="240"/>
        <w:jc w:val="both"/>
        <w:rPr/>
      </w:pPr>
      <w:r>
        <w:rPr>
          <w:rFonts w:ascii="Times New Roman" w:hAnsi="Times New Roman"/>
          <w:color w:val="000000"/>
          <w:sz w:val="20"/>
          <w:u w:val="single"/>
        </w:rPr>
        <w:t>No Reinstatement</w:t>
      </w:r>
      <w:r>
        <w:rPr>
          <w:rFonts w:ascii="Times New Roman" w:hAnsi="Times New Roman"/>
          <w:color w:val="000000"/>
          <w:sz w:val="20"/>
        </w:rPr>
        <w:t>. For the avoidance of doubt, once exclusivity for a Molecule/API is lost due to Customer’s failure to meet the Exclusivity Minimum Retention Quantities (including failure to timely cure pursuant to Section 3.3.4.2), such exclusivity shall not be reinstated for the remainder of the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3.3.4.4</w:t>
      </w:r>
    </w:p>
    <w:p>
      <w:pPr>
        <w:pStyle w:val="TextBody"/>
        <w:bidi w:val="0"/>
        <w:spacing w:before="0" w:after="240"/>
        <w:jc w:val="both"/>
        <w:rPr/>
      </w:pPr>
      <w:r>
        <w:rPr>
          <w:rFonts w:ascii="Times New Roman" w:hAnsi="Times New Roman"/>
          <w:color w:val="000000"/>
          <w:sz w:val="20"/>
          <w:u w:val="single"/>
        </w:rPr>
        <w:t>Excused Shortfalls</w:t>
      </w:r>
      <w:r>
        <w:rPr>
          <w:rFonts w:ascii="Times New Roman" w:hAnsi="Times New Roman"/>
          <w:color w:val="000000"/>
          <w:sz w:val="20"/>
        </w:rPr>
        <w:t>. Exclusivity shall remain in effect in the event that Customer’s failure to meet the Exclusivity Minimum Retention Quantities for a given Post-Launch Exclusivity Year arises from (i) a Force Majeure event, (ii) Supplier’s inability or failure to supply the quantity of Product in accordance with an accepted P.O. or a P.O. submitted in accordance with the Forecast and the indicative lead time, (iii) a material breach of this Agreement by Supplier, (iv) any delay caused by a Regulatory Authority (including any delay in issuing a regulatory approval), or (v) a documented safety or efficacy issue asserted by a Regulatory Authority. For purposes of calculating satisfaction of the Exclusivity Minimum Retention Quantities only, any Product ordered by Customer that is determined to be defective shall be deemed accepted, and shall count towards the Exclusivity Minimum Retention Quantities for the relevant Post-Launch Exclusivity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3.3.5</w:t>
      </w:r>
    </w:p>
    <w:p>
      <w:pPr>
        <w:pStyle w:val="TextBody"/>
        <w:bidi w:val="0"/>
        <w:spacing w:before="0" w:after="240"/>
        <w:jc w:val="both"/>
        <w:rPr/>
      </w:pPr>
      <w:r>
        <w:rPr>
          <w:rFonts w:ascii="Times New Roman" w:hAnsi="Times New Roman"/>
          <w:color w:val="000000"/>
          <w:sz w:val="20"/>
          <w:u w:val="single"/>
        </w:rPr>
        <w:t>Non-Retroactivity and Pre-Existing Binding Commitments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3.3.5.1</w:t>
      </w:r>
    </w:p>
    <w:p>
      <w:pPr>
        <w:pStyle w:val="TextBody"/>
        <w:bidi w:val="0"/>
        <w:spacing w:before="0" w:after="240"/>
        <w:jc w:val="both"/>
        <w:rPr/>
      </w:pPr>
      <w:r>
        <w:rPr>
          <w:rFonts w:ascii="Times New Roman" w:hAnsi="Times New Roman"/>
          <w:color w:val="000000"/>
          <w:sz w:val="20"/>
        </w:rPr>
        <w:t>Notwithstanding Sections 3.3.2 and 3.3.3, Customer expressly acknowledges that Supplier’s exclusivity obligations under this Agreement cannot be applied retroactively to any third party with whom Supplier (or its Affiliates) entered into any agreement or other binding arrangement prior to the Effective Date ([*] (together, the “</w:t>
      </w:r>
      <w:r>
        <w:rPr>
          <w:rFonts w:ascii="Times New Roman" w:hAnsi="Times New Roman"/>
          <w:b/>
          <w:color w:val="000000"/>
          <w:sz w:val="20"/>
        </w:rPr>
        <w:t>Prior Binding Commitments</w:t>
      </w:r>
      <w:r>
        <w:rPr>
          <w:color w:val="000000"/>
        </w:rPr>
        <w:t>”</w:t>
      </w:r>
      <w:r>
        <w:rPr>
          <w:rFonts w:ascii="Times New Roman" w:hAnsi="Times New Roman"/>
          <w:color w:val="000000"/>
          <w:sz w:val="20"/>
        </w:rPr>
        <w:t>). Supplier is authorized to [*] such Prior Binding Commitments [*] without breach of this Agreement. No provision of this Agreement shall be interpreted as restricting, impairing or conditioning Supplier’s or such third parties’ freedom to operate under such Prior Binding Commitments. Supplier may continue and expand [*] such Prior Binding Commitments after their expiration or termination with those same third parties [*] without notice to or consent of Customer and without breach of the exclusivity granted hereunder. For the avoidance of doubt, the expiration or termination of any Prior Binding Commitments does not give rise to exclusivity rights in favour of Customer.</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5</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3.3.5.2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(a) [*], and (b) Supplier shall not, after the Effective Date, enter into any agreement that would permit a third party [*] to purchase Product for the Molecule/API.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3.3.6</w:t>
      </w:r>
    </w:p>
    <w:p>
      <w:pPr>
        <w:pStyle w:val="TextBody"/>
        <w:bidi w:val="0"/>
        <w:spacing w:before="0" w:after="240"/>
        <w:jc w:val="both"/>
        <w:rPr/>
      </w:pPr>
      <w:r>
        <w:rPr>
          <w:rFonts w:ascii="Times New Roman" w:hAnsi="Times New Roman"/>
          <w:color w:val="000000"/>
          <w:sz w:val="20"/>
          <w:u w:val="single"/>
        </w:rPr>
        <w:t>Customer Use-Restrictions (Reserved Molecules)</w:t>
      </w:r>
      <w:r>
        <w:rPr>
          <w:rFonts w:ascii="Times New Roman" w:hAnsi="Times New Roman"/>
          <w:color w:val="000000"/>
          <w:sz w:val="20"/>
        </w:rPr>
        <w:t xml:space="preserve">. For the molecules listed in </w:t>
      </w:r>
      <w:r>
        <w:rPr>
          <w:rFonts w:ascii="Times New Roman" w:hAnsi="Times New Roman"/>
          <w:color w:val="000000"/>
          <w:sz w:val="20"/>
          <w:u w:val="single"/>
        </w:rPr>
        <w:t>Schedule 2</w:t>
      </w:r>
      <w:r>
        <w:rPr>
          <w:color w:val="000000"/>
        </w:rPr>
        <w:t xml:space="preserve"> </w:t>
      </w:r>
      <w:r>
        <w:rPr>
          <w:rFonts w:ascii="Times New Roman" w:hAnsi="Times New Roman"/>
          <w:color w:val="000000"/>
          <w:sz w:val="20"/>
        </w:rPr>
        <w:t>as Reserved Molecules, Customer shall not purchase the Product for, integrate the Product with, or otherwise use the Product in combination with those molecules during the stated restriction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3.3.7</w:t>
      </w:r>
    </w:p>
    <w:p>
      <w:pPr>
        <w:pStyle w:val="TextBody"/>
        <w:bidi w:val="0"/>
        <w:spacing w:before="0" w:after="240"/>
        <w:jc w:val="both"/>
        <w:rPr/>
      </w:pPr>
      <w:r>
        <w:rPr>
          <w:rFonts w:ascii="Times New Roman" w:hAnsi="Times New Roman"/>
          <w:color w:val="000000"/>
          <w:sz w:val="20"/>
          <w:u w:val="single"/>
        </w:rPr>
        <w:t>Competition Law; Scope</w:t>
      </w:r>
      <w:r>
        <w:rPr>
          <w:rFonts w:ascii="Times New Roman" w:hAnsi="Times New Roman"/>
          <w:color w:val="000000"/>
          <w:sz w:val="20"/>
        </w:rPr>
        <w:t>. The Parties shall implement any exclusivity narrowly (by Molecule/API, optional Indication/Field, Territory, and Term) and in compliance with applicable competition/antitrust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3.3.8</w:t>
      </w:r>
    </w:p>
    <w:p>
      <w:pPr>
        <w:pStyle w:val="TextBody"/>
        <w:bidi w:val="0"/>
        <w:spacing w:before="0" w:after="240"/>
        <w:jc w:val="both"/>
        <w:rPr/>
      </w:pPr>
      <w:r>
        <w:rPr>
          <w:rFonts w:ascii="Times New Roman" w:hAnsi="Times New Roman"/>
          <w:color w:val="000000"/>
          <w:sz w:val="20"/>
          <w:u w:val="single"/>
        </w:rPr>
        <w:t>Remedies</w:t>
      </w:r>
      <w:r>
        <w:rPr>
          <w:rFonts w:ascii="Times New Roman" w:hAnsi="Times New Roman"/>
          <w:color w:val="000000"/>
          <w:sz w:val="20"/>
        </w:rPr>
        <w:t>. A breach of this Section 3.3 may cause irreparable harm; the non-breaching Party may seek injunctive relief, without prejudice to damages and other remedies available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CHANGES IN SPECIFICATIONS; DEVELOPMENTS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w:t>
      </w:r>
    </w:p>
    <w:p>
      <w:pPr>
        <w:pStyle w:val="TextBody"/>
        <w:bidi w:val="0"/>
        <w:spacing w:before="0" w:after="240"/>
        <w:jc w:val="both"/>
        <w:rPr/>
      </w:pPr>
      <w:r>
        <w:rPr>
          <w:rFonts w:ascii="Times New Roman" w:hAnsi="Times New Roman"/>
          <w:color w:val="000000"/>
          <w:sz w:val="20"/>
          <w:u w:val="single"/>
        </w:rPr>
        <w:t>Changes in Specifications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4.1.1</w:t>
      </w:r>
    </w:p>
    <w:p>
      <w:pPr>
        <w:pStyle w:val="TextBody"/>
        <w:bidi w:val="0"/>
        <w:spacing w:before="0" w:after="240"/>
        <w:jc w:val="both"/>
        <w:rPr/>
      </w:pPr>
      <w:r>
        <w:rPr>
          <w:rFonts w:ascii="Times New Roman" w:hAnsi="Times New Roman"/>
          <w:color w:val="000000"/>
          <w:sz w:val="20"/>
          <w:u w:val="single"/>
        </w:rPr>
        <w:t>Product Specifications</w:t>
      </w:r>
      <w:r>
        <w:rPr>
          <w:rFonts w:ascii="Times New Roman" w:hAnsi="Times New Roman"/>
          <w:color w:val="000000"/>
          <w:sz w:val="20"/>
        </w:rPr>
        <w:t>. The Specifications may only be modified or supplemented by mutual written agreement of the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4.1.2</w:t>
      </w:r>
    </w:p>
    <w:p>
      <w:pPr>
        <w:pStyle w:val="TextBody"/>
        <w:bidi w:val="0"/>
        <w:spacing w:before="0" w:after="240"/>
        <w:jc w:val="both"/>
        <w:rPr/>
      </w:pPr>
      <w:r>
        <w:rPr>
          <w:rFonts w:ascii="Times New Roman" w:hAnsi="Times New Roman"/>
          <w:color w:val="000000"/>
          <w:sz w:val="20"/>
          <w:u w:val="single"/>
        </w:rPr>
        <w:t>Qualification of Alternative [*] Sources</w:t>
      </w:r>
      <w:r>
        <w:rPr>
          <w:rFonts w:ascii="Times New Roman" w:hAnsi="Times New Roman"/>
          <w:color w:val="000000"/>
          <w:sz w:val="20"/>
        </w:rPr>
        <w:t>. The Parties may qualify a suitable alternative [*] for Products (from a second [*] supplier) to reduce the risk of disruption in supply of Products as a replacement or substitution [*] to that described in the Specifications.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4.1.3</w:t>
      </w:r>
    </w:p>
    <w:p>
      <w:pPr>
        <w:pStyle w:val="TextBody"/>
        <w:bidi w:val="0"/>
        <w:spacing w:before="0" w:after="240"/>
        <w:jc w:val="both"/>
        <w:rPr/>
      </w:pPr>
      <w:r>
        <w:rPr>
          <w:rFonts w:ascii="Times New Roman" w:hAnsi="Times New Roman"/>
          <w:color w:val="000000"/>
          <w:sz w:val="20"/>
          <w:u w:val="single"/>
        </w:rPr>
        <w:t>Customer-Requested Specification Changes for Legal Compliance</w:t>
      </w:r>
      <w:r>
        <w:rPr>
          <w:rFonts w:ascii="Times New Roman" w:hAnsi="Times New Roman"/>
          <w:color w:val="000000"/>
          <w:sz w:val="20"/>
        </w:rPr>
        <w:t>. Customer shall promptly inform Supplier of any proposed change in the Specifications which is necessary in order for them to conform with any applicable laws in the Territory, in which event Supplier shall promptly notify Customer in writing whether it is willing to change the Specifications and if this would result in any change in the Price of the relevant Products, such consent not to be unreasonably withheld, conditioned or delayed.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4.1.4</w:t>
      </w:r>
    </w:p>
    <w:p>
      <w:pPr>
        <w:pStyle w:val="TextBody"/>
        <w:bidi w:val="0"/>
        <w:spacing w:before="0" w:after="240"/>
        <w:jc w:val="both"/>
        <w:rPr/>
      </w:pPr>
      <w:r>
        <w:rPr>
          <w:rFonts w:ascii="Times New Roman" w:hAnsi="Times New Roman"/>
          <w:color w:val="000000"/>
          <w:sz w:val="20"/>
          <w:u w:val="single"/>
        </w:rPr>
        <w:t>Regulatory-Impacting Changes</w:t>
      </w:r>
      <w:r>
        <w:rPr>
          <w:rFonts w:ascii="Times New Roman" w:hAnsi="Times New Roman"/>
          <w:color w:val="000000"/>
          <w:sz w:val="20"/>
        </w:rPr>
        <w:t>. Where a proposed change (by either Party) may reasonably impact a regulatory filing or registration (e.g., material change, [*], manufacturing site), the proposing Party shall notify the other in writing, the Parties will plan and coordinate submissions (if any), and agree on timelines and cost allocation. Supplier has no liability for Customer’s regulatory approvals or filing strategies; Customer remains responsible for any variations to Customer’s Finished Product approvals.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4.1.5</w:t>
      </w:r>
    </w:p>
    <w:p>
      <w:pPr>
        <w:pStyle w:val="TextBody"/>
        <w:bidi w:val="0"/>
        <w:spacing w:before="0" w:after="240"/>
        <w:jc w:val="both"/>
        <w:rPr/>
      </w:pPr>
      <w:r>
        <w:rPr>
          <w:rFonts w:ascii="Times New Roman" w:hAnsi="Times New Roman"/>
          <w:color w:val="000000"/>
          <w:sz w:val="20"/>
          <w:u w:val="single"/>
        </w:rPr>
        <w:t>Termination Right for Unresolved Specification Modifications</w:t>
      </w:r>
      <w:r>
        <w:rPr>
          <w:rFonts w:ascii="Times New Roman" w:hAnsi="Times New Roman"/>
          <w:color w:val="000000"/>
          <w:sz w:val="20"/>
        </w:rPr>
        <w:t>. If no agreement is reached between the Parties regarding a request of modification as per Sections 4.1.3. (Customer-Requested Specification Changes for Legal Compliance) and 4.1.4. (Regulatory-Impacting Changes) above within a reasonable time, then either Party shall have the right to terminate this Agreement solely with respect to the particular Products that are the subject of the proposed modification.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w:t>
      </w:r>
    </w:p>
    <w:p>
      <w:pPr>
        <w:pStyle w:val="TextBody"/>
        <w:bidi w:val="0"/>
        <w:spacing w:before="0" w:after="240"/>
        <w:jc w:val="both"/>
        <w:rPr/>
      </w:pPr>
      <w:r>
        <w:rPr>
          <w:rFonts w:ascii="Times New Roman" w:hAnsi="Times New Roman"/>
          <w:color w:val="000000"/>
          <w:sz w:val="20"/>
          <w:u w:val="single"/>
        </w:rPr>
        <w:t>Developments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4.2.1</w:t>
      </w:r>
    </w:p>
    <w:p>
      <w:pPr>
        <w:pStyle w:val="TextBody"/>
        <w:bidi w:val="0"/>
        <w:spacing w:before="0" w:after="240"/>
        <w:jc w:val="both"/>
        <w:rPr/>
      </w:pPr>
      <w:r>
        <w:rPr>
          <w:rFonts w:ascii="Times New Roman" w:hAnsi="Times New Roman"/>
          <w:color w:val="000000"/>
          <w:sz w:val="20"/>
          <w:u w:val="single"/>
        </w:rPr>
        <w:t>Intellectual Property</w:t>
      </w:r>
      <w:r>
        <w:rPr>
          <w:rFonts w:ascii="Times New Roman" w:hAnsi="Times New Roman"/>
          <w:color w:val="000000"/>
          <w:sz w:val="20"/>
        </w:rPr>
        <w:t xml:space="preserve">. All intellectual property rights related to any and all Products and/or parts thereof related to but not limited to copyrights, trademarks, patents, design rights, as well as manufacturing and/or processes, technology, control processes and methods thereof, inventions, discoveries, modifications, derivatives, innovations, enhancements, improvements, know-how, trade secrets, computer programs, screen displays, adaptations, documentation, specifications, designs and all other works, articles, concepts or ideas developed, made, written, created, discovered </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6</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or designed by Supplier and/or on its behalf, its employees, agents and suppliers (including all samples, drafts, moulds, artwork, designs, film and proofs) (all together, “</w:t>
      </w:r>
      <w:r>
        <w:rPr>
          <w:rFonts w:ascii="Times New Roman" w:hAnsi="Times New Roman"/>
          <w:b/>
          <w:color w:val="000000"/>
          <w:sz w:val="20"/>
        </w:rPr>
        <w:t>Intellectual Property Rights</w:t>
      </w:r>
      <w:r>
        <w:rPr>
          <w:color w:val="000000"/>
        </w:rPr>
        <w:t>”</w:t>
      </w:r>
      <w:r>
        <w:rPr>
          <w:rFonts w:ascii="Times New Roman" w:hAnsi="Times New Roman"/>
          <w:color w:val="000000"/>
          <w:sz w:val="20"/>
        </w:rPr>
        <w:t>) shall remain the sole and exclusive property of Supplier.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4.2.2</w:t>
      </w:r>
    </w:p>
    <w:p>
      <w:pPr>
        <w:pStyle w:val="TextBody"/>
        <w:bidi w:val="0"/>
        <w:spacing w:before="0" w:after="240"/>
        <w:jc w:val="both"/>
        <w:rPr/>
      </w:pPr>
      <w:r>
        <w:rPr>
          <w:rFonts w:ascii="Times New Roman" w:hAnsi="Times New Roman"/>
          <w:color w:val="000000"/>
          <w:sz w:val="20"/>
          <w:u w:val="single"/>
        </w:rPr>
        <w:t>Product Improvements</w:t>
      </w:r>
      <w:r>
        <w:rPr>
          <w:rFonts w:ascii="Times New Roman" w:hAnsi="Times New Roman"/>
          <w:color w:val="000000"/>
          <w:sz w:val="20"/>
        </w:rPr>
        <w:t>. Any improvement, derivative and/or modification to the Product and/or any parts of it that is specifically developed for, or at the request of, Customer (“</w:t>
      </w:r>
      <w:r>
        <w:rPr>
          <w:rFonts w:ascii="Times New Roman" w:hAnsi="Times New Roman"/>
          <w:b/>
          <w:color w:val="000000"/>
          <w:sz w:val="20"/>
        </w:rPr>
        <w:t>Product Improvement</w:t>
      </w:r>
      <w:r>
        <w:rPr>
          <w:color w:val="000000"/>
        </w:rPr>
        <w:t>”</w:t>
      </w:r>
      <w:r>
        <w:rPr>
          <w:rFonts w:ascii="Times New Roman" w:hAnsi="Times New Roman"/>
          <w:color w:val="000000"/>
          <w:sz w:val="20"/>
        </w:rPr>
        <w:t>) shall be governed by a separate, mutually executed product development agreement, which shall address scope of work, timelines, ownership of results, and allocation of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PRICE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5.1</w:t>
      </w:r>
    </w:p>
    <w:p>
      <w:pPr>
        <w:pStyle w:val="TextBody"/>
        <w:bidi w:val="0"/>
        <w:spacing w:before="0" w:after="240"/>
        <w:jc w:val="both"/>
        <w:rPr/>
      </w:pPr>
      <w:r>
        <w:rPr>
          <w:rFonts w:ascii="Times New Roman" w:hAnsi="Times New Roman"/>
          <w:color w:val="000000"/>
          <w:sz w:val="20"/>
          <w:u w:val="single"/>
        </w:rPr>
        <w:t>Product Pricing and Adjustment Mechanism</w:t>
      </w:r>
      <w:r>
        <w:rPr>
          <w:rFonts w:ascii="Times New Roman" w:hAnsi="Times New Roman"/>
          <w:color w:val="000000"/>
          <w:sz w:val="20"/>
        </w:rPr>
        <w:t xml:space="preserve">. The purchase price for each Product shall be as set out in </w:t>
      </w:r>
      <w:r>
        <w:rPr>
          <w:rFonts w:ascii="Times New Roman" w:hAnsi="Times New Roman"/>
          <w:color w:val="000000"/>
          <w:sz w:val="20"/>
          <w:u w:val="single"/>
        </w:rPr>
        <w:t>Schedule 3</w:t>
      </w:r>
      <w:r>
        <w:rPr>
          <w:color w:val="000000"/>
        </w:rPr>
        <w:t xml:space="preserve"> </w:t>
      </w:r>
      <w:r>
        <w:rPr>
          <w:rFonts w:ascii="Times New Roman" w:hAnsi="Times New Roman"/>
          <w:color w:val="000000"/>
          <w:sz w:val="20"/>
        </w:rPr>
        <w:t>(for each such Product, the “</w:t>
      </w:r>
      <w:r>
        <w:rPr>
          <w:rFonts w:ascii="Times New Roman" w:hAnsi="Times New Roman"/>
          <w:b/>
          <w:color w:val="000000"/>
          <w:sz w:val="20"/>
        </w:rPr>
        <w:t>Price</w:t>
      </w:r>
      <w:r>
        <w:rPr>
          <w:color w:val="000000"/>
        </w:rPr>
        <w:t>”</w:t>
      </w:r>
      <w:r>
        <w:rPr>
          <w:rFonts w:ascii="Times New Roman" w:hAnsi="Times New Roman"/>
          <w:color w:val="000000"/>
          <w:sz w:val="20"/>
        </w:rPr>
        <w:t>). The Price may be increased or decreased from time to time upon mutual agreement of the Parties in accordance with the pricing adjustment program set forth in Schedule 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5.2</w:t>
      </w:r>
    </w:p>
    <w:p>
      <w:pPr>
        <w:pStyle w:val="TextBody"/>
        <w:bidi w:val="0"/>
        <w:spacing w:before="0" w:after="240"/>
        <w:jc w:val="both"/>
        <w:rPr/>
      </w:pPr>
      <w:r>
        <w:rPr>
          <w:rFonts w:ascii="Times New Roman" w:hAnsi="Times New Roman"/>
          <w:color w:val="000000"/>
          <w:sz w:val="20"/>
          <w:u w:val="single"/>
        </w:rPr>
        <w:t>Exclusions from Price</w:t>
      </w:r>
      <w:r>
        <w:rPr>
          <w:rFonts w:ascii="Times New Roman" w:hAnsi="Times New Roman"/>
          <w:color w:val="000000"/>
          <w:sz w:val="20"/>
        </w:rPr>
        <w:t>. The Price is exclusive of any value added tax (VAT), or any other similar tax, duty fee, or any governmental charge.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PAYMENT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6.1</w:t>
      </w:r>
    </w:p>
    <w:p>
      <w:pPr>
        <w:pStyle w:val="TextBody"/>
        <w:bidi w:val="0"/>
        <w:spacing w:before="0" w:after="240"/>
        <w:jc w:val="both"/>
        <w:rPr/>
      </w:pPr>
      <w:r>
        <w:rPr>
          <w:rFonts w:ascii="Times New Roman" w:hAnsi="Times New Roman"/>
          <w:color w:val="000000"/>
          <w:sz w:val="20"/>
          <w:u w:val="single"/>
        </w:rPr>
        <w:t>Payment Terms and Timing</w:t>
      </w:r>
      <w:r>
        <w:rPr>
          <w:rFonts w:ascii="Times New Roman" w:hAnsi="Times New Roman"/>
          <w:color w:val="000000"/>
          <w:sz w:val="20"/>
        </w:rPr>
        <w:t>. Customer shall pay undisputed amounts under each invoice within the period set out in Schedule 4. No early payment discount will be offered, unless otherwise agreed in writing between the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6.2</w:t>
      </w:r>
    </w:p>
    <w:p>
      <w:pPr>
        <w:pStyle w:val="TextBody"/>
        <w:bidi w:val="0"/>
        <w:spacing w:before="0" w:after="240"/>
        <w:jc w:val="both"/>
        <w:rPr/>
      </w:pPr>
      <w:r>
        <w:rPr>
          <w:rFonts w:ascii="Times New Roman" w:hAnsi="Times New Roman"/>
          <w:color w:val="000000"/>
          <w:sz w:val="20"/>
          <w:u w:val="single"/>
        </w:rPr>
        <w:t>Payment Method, No Deductions and No Set-Off by Customer</w:t>
      </w:r>
      <w:r>
        <w:rPr>
          <w:rFonts w:ascii="Times New Roman" w:hAnsi="Times New Roman"/>
          <w:color w:val="000000"/>
          <w:sz w:val="20"/>
        </w:rPr>
        <w:t>. Payment shall be made to the bank account nominated in writing by Supplier and time of payment is of the essence. Customer shall pay all undisputed amounts due in full and cleared funds without any deduction or withholding, and Customer shall not be entitled to assert any credit, set-off or counterclaim against amounts due to Supplier under this Agreement or otherwise, except that Customer may apply Supplier-issued credit notes (by number and amount) against amounts then due.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6.3</w:t>
      </w:r>
    </w:p>
    <w:p>
      <w:pPr>
        <w:pStyle w:val="TextBody"/>
        <w:bidi w:val="0"/>
        <w:spacing w:before="0" w:after="240"/>
        <w:jc w:val="both"/>
        <w:rPr/>
      </w:pPr>
      <w:r>
        <w:rPr>
          <w:rFonts w:ascii="Times New Roman" w:hAnsi="Times New Roman"/>
          <w:color w:val="000000"/>
          <w:sz w:val="20"/>
          <w:u w:val="single"/>
        </w:rPr>
        <w:t>Late payment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6.3.1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of late payment of an undisputed amount due by Customer, Supplier shall provide Customer with written notice of such overdue amount. If Customer fails to pay such undisputed overdue amount within [*] after receipt of such notice, Supplier shall be entitled to charge interest on the overdue amount at the rate of [*]. Such interest shall accrue on a daily basis from expiration of such [*] period until the date of actual payment, whether before or after judgment.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6.3.2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Customer repeatedly fails to timely pay undisputed amounts, such that (i) more than [*] invoices are paid more than [*] after the due date within any [*], or (ii) any undisputed amount remains unpaid for more than [*] after receipt of written notice, then Supplier may, upon additional written notice to Customer and provided such failure is not cured within [*], exercise one or more of the following remedies, until such time as Customer is again current in its undisputed payment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suspend further deliveries of Product (excluding Products required under accepted P.O.s already in manufacture); and/or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require prepayment, in whole or in part, for future P.O.s.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exercise of the foregoing remedies shall be proportionate, applied prospectively, and shall not affect Supplier’s obligation to supply Products already delivered or validly manufactured prior to such suspension.</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7</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DELIVERY TERMS – IMPORT OBLIGATIONS - INSPECTION UPON DELIVERY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7.1</w:t>
      </w:r>
    </w:p>
    <w:p>
      <w:pPr>
        <w:pStyle w:val="TextBody"/>
        <w:bidi w:val="0"/>
        <w:spacing w:before="0" w:after="240"/>
        <w:jc w:val="both"/>
        <w:rPr/>
      </w:pPr>
      <w:r>
        <w:rPr>
          <w:rFonts w:ascii="Times New Roman" w:hAnsi="Times New Roman"/>
          <w:color w:val="000000"/>
          <w:sz w:val="20"/>
          <w:u w:val="single"/>
        </w:rPr>
        <w:t>Delivery Terms</w:t>
      </w:r>
      <w:r>
        <w:rPr>
          <w:rFonts w:ascii="Times New Roman" w:hAnsi="Times New Roman"/>
          <w:color w:val="000000"/>
          <w:sz w:val="20"/>
        </w:rPr>
        <w:t>. Delivery terms are as set out in Schedule 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shipment shall be accompanied by a certificate of analysis (incorporating a certificate of conformance) for each lot contained in such shipment, with one copy provided at the same time to the Customer representative specified in the Quality Agreement. In addition, Supplier shall also provide Customer any export-related governmental certification customarily required by the relevant authorities.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7.3</w:t>
      </w:r>
    </w:p>
    <w:p>
      <w:pPr>
        <w:pStyle w:val="TextBody"/>
        <w:bidi w:val="0"/>
        <w:spacing w:before="0" w:after="240"/>
        <w:jc w:val="both"/>
        <w:rPr/>
      </w:pPr>
      <w:r>
        <w:rPr>
          <w:rFonts w:ascii="Times New Roman" w:hAnsi="Times New Roman"/>
          <w:color w:val="000000"/>
          <w:sz w:val="20"/>
          <w:u w:val="single"/>
        </w:rPr>
        <w:t>Import Obligations and Compliance</w:t>
      </w:r>
      <w:r>
        <w:rPr>
          <w:rFonts w:ascii="Times New Roman" w:hAnsi="Times New Roman"/>
          <w:color w:val="000000"/>
          <w:sz w:val="20"/>
        </w:rPr>
        <w:t>. Customer shall be responsible to Supplier for obtaining any necessary import licenses or other requisite documents and otherwise complying with any applicable laws or regulations concerning the importation of the Products, and for paying all applicable customs duties, taxes and charges in respect of the importation of the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7.4</w:t>
      </w:r>
    </w:p>
    <w:p>
      <w:pPr>
        <w:pStyle w:val="TextBody"/>
        <w:bidi w:val="0"/>
        <w:spacing w:before="0" w:after="240"/>
        <w:jc w:val="both"/>
        <w:rPr/>
      </w:pPr>
      <w:r>
        <w:rPr>
          <w:rFonts w:ascii="Times New Roman" w:hAnsi="Times New Roman"/>
          <w:color w:val="000000"/>
          <w:sz w:val="20"/>
          <w:u w:val="single"/>
        </w:rPr>
        <w:t>Inspection upon Delivery</w:t>
      </w:r>
      <w:r>
        <w:rPr>
          <w:rFonts w:ascii="Times New Roman" w:hAnsi="Times New Roman"/>
          <w:color w:val="000000"/>
          <w:sz w:val="20"/>
        </w:rPr>
        <w:t>. Customer shall visually inspect the Products upon delivery and record specific reservations on the carrier’s receipt for any visible loss/damage which might have happened during transit, with photos (“</w:t>
      </w:r>
      <w:r>
        <w:rPr>
          <w:rFonts w:ascii="Times New Roman" w:hAnsi="Times New Roman"/>
          <w:b/>
          <w:color w:val="000000"/>
          <w:sz w:val="20"/>
        </w:rPr>
        <w:t>Transit Claim(s)</w:t>
      </w:r>
      <w:r>
        <w:rPr>
          <w:color w:val="000000"/>
        </w:rPr>
        <w:t>”</w:t>
      </w:r>
      <w:r>
        <w:rPr>
          <w:rFonts w:ascii="Times New Roman" w:hAnsi="Times New Roman"/>
          <w:color w:val="000000"/>
          <w:sz w:val="20"/>
        </w:rPr>
        <w:t>) and shall use reasonable efforts to notify Supplier accordingly as soon as reasonably practicable and in any event within [*] following delivery. Transit Claims shall be pursued via the carrier by the Party bearing the risk of loss under the agreed Incoterm; the other Party shall reasonably cooperate.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TITLE AND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8.1</w:t>
      </w:r>
    </w:p>
    <w:p>
      <w:pPr>
        <w:pStyle w:val="TextBody"/>
        <w:bidi w:val="0"/>
        <w:spacing w:before="0" w:after="240"/>
        <w:jc w:val="both"/>
        <w:rPr/>
      </w:pPr>
      <w:r>
        <w:rPr>
          <w:rFonts w:ascii="Times New Roman" w:hAnsi="Times New Roman"/>
          <w:color w:val="000000"/>
          <w:sz w:val="20"/>
          <w:u w:val="single"/>
        </w:rPr>
        <w:t>Title</w:t>
      </w:r>
      <w:r>
        <w:rPr>
          <w:rFonts w:ascii="Times New Roman" w:hAnsi="Times New Roman"/>
          <w:color w:val="000000"/>
          <w:sz w:val="20"/>
        </w:rPr>
        <w:t>. Title shall pass upon transfer of risk of loss.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8.2</w:t>
      </w:r>
    </w:p>
    <w:p>
      <w:pPr>
        <w:pStyle w:val="TextBody"/>
        <w:bidi w:val="0"/>
        <w:spacing w:before="0" w:after="240"/>
        <w:jc w:val="both"/>
        <w:rPr/>
      </w:pPr>
      <w:r>
        <w:rPr>
          <w:rFonts w:ascii="Times New Roman" w:hAnsi="Times New Roman"/>
          <w:color w:val="000000"/>
          <w:sz w:val="20"/>
          <w:u w:val="single"/>
        </w:rPr>
        <w:t>Risks</w:t>
      </w:r>
      <w:r>
        <w:rPr>
          <w:rFonts w:ascii="Times New Roman" w:hAnsi="Times New Roman"/>
          <w:color w:val="000000"/>
          <w:sz w:val="20"/>
        </w:rPr>
        <w:t xml:space="preserve">. Risks shall pass to the Customer as per the agreed Incoterm in </w:t>
      </w:r>
      <w:r>
        <w:rPr>
          <w:rFonts w:ascii="Times New Roman" w:hAnsi="Times New Roman"/>
          <w:color w:val="000000"/>
          <w:sz w:val="20"/>
          <w:u w:val="single"/>
        </w:rPr>
        <w:t>Schedule 4</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CONFIDENTIAL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9.1</w:t>
      </w:r>
    </w:p>
    <w:p>
      <w:pPr>
        <w:pStyle w:val="TextBody"/>
        <w:bidi w:val="0"/>
        <w:spacing w:before="0" w:after="240"/>
        <w:jc w:val="both"/>
        <w:rPr/>
      </w:pPr>
      <w:r>
        <w:rPr>
          <w:rFonts w:ascii="Times New Roman" w:hAnsi="Times New Roman"/>
          <w:color w:val="000000"/>
          <w:sz w:val="20"/>
          <w:u w:val="single"/>
        </w:rPr>
        <w:t>Definition of Confidential Information</w:t>
      </w:r>
      <w:r>
        <w:rPr>
          <w:rFonts w:ascii="Times New Roman" w:hAnsi="Times New Roman"/>
          <w:color w:val="000000"/>
          <w:sz w:val="20"/>
        </w:rPr>
        <w:t>. Confidential information conveyed by a Party (“</w:t>
      </w:r>
      <w:r>
        <w:rPr>
          <w:rFonts w:ascii="Times New Roman" w:hAnsi="Times New Roman"/>
          <w:b/>
          <w:color w:val="000000"/>
          <w:sz w:val="20"/>
        </w:rPr>
        <w:t>Discloser</w:t>
      </w:r>
      <w:r>
        <w:rPr>
          <w:color w:val="000000"/>
        </w:rPr>
        <w:t>”</w:t>
      </w:r>
      <w:r>
        <w:rPr>
          <w:rFonts w:ascii="Times New Roman" w:hAnsi="Times New Roman"/>
          <w:color w:val="000000"/>
          <w:sz w:val="20"/>
        </w:rPr>
        <w:t>) to the other Party (“</w:t>
      </w:r>
      <w:r>
        <w:rPr>
          <w:rFonts w:ascii="Times New Roman" w:hAnsi="Times New Roman"/>
          <w:b/>
          <w:color w:val="000000"/>
          <w:sz w:val="20"/>
        </w:rPr>
        <w:t>Receiver</w:t>
      </w:r>
      <w:r>
        <w:rPr>
          <w:color w:val="000000"/>
        </w:rPr>
        <w:t>”</w:t>
      </w:r>
      <w:r>
        <w:rPr>
          <w:rFonts w:ascii="Times New Roman" w:hAnsi="Times New Roman"/>
          <w:color w:val="000000"/>
          <w:sz w:val="20"/>
        </w:rPr>
        <w:t>) including without limitation regarding prices, costs, discounts, inventions, planned and existing products (including the Products), packaging, customers, distributors, a Party’s business or finances, or a Party’s production methods or know-how, is confidential information (“</w:t>
      </w:r>
      <w:r>
        <w:rPr>
          <w:rFonts w:ascii="Times New Roman" w:hAnsi="Times New Roman"/>
          <w:b/>
          <w:color w:val="000000"/>
          <w:sz w:val="20"/>
        </w:rPr>
        <w:t>CI</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9.2</w:t>
      </w:r>
    </w:p>
    <w:p>
      <w:pPr>
        <w:pStyle w:val="TextBody"/>
        <w:bidi w:val="0"/>
        <w:spacing w:before="0" w:after="240"/>
        <w:jc w:val="both"/>
        <w:rPr/>
      </w:pPr>
      <w:r>
        <w:rPr>
          <w:rFonts w:ascii="Times New Roman" w:hAnsi="Times New Roman"/>
          <w:color w:val="000000"/>
          <w:sz w:val="20"/>
          <w:u w:val="single"/>
        </w:rPr>
        <w:t>Obligations of the Receiving Party</w:t>
      </w:r>
      <w:r>
        <w:rPr>
          <w:rFonts w:ascii="Times New Roman" w:hAnsi="Times New Roman"/>
          <w:color w:val="000000"/>
          <w:sz w:val="20"/>
        </w:rPr>
        <w:t>. Receiver agrees not to use CI except for the purposes set forth herein or to disclose any CI except to employees, officers, directors, auditors, accountants, lawyers and consultants who agree to be bound by this confidentiality obligation, and to take reasonable commercial steps to protect the CI. Receiver shall not copy, reverse compile, reverse engineer, or otherwise duplicate the CI.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9.3</w:t>
      </w:r>
    </w:p>
    <w:p>
      <w:pPr>
        <w:pStyle w:val="TextBody"/>
        <w:bidi w:val="0"/>
        <w:spacing w:before="0" w:after="240"/>
        <w:jc w:val="both"/>
        <w:rPr/>
      </w:pPr>
      <w:r>
        <w:rPr>
          <w:rFonts w:ascii="Times New Roman" w:hAnsi="Times New Roman"/>
          <w:color w:val="000000"/>
          <w:sz w:val="20"/>
          <w:u w:val="single"/>
        </w:rPr>
        <w:t>Restriction on Use of Supplier’s Branding</w:t>
      </w:r>
      <w:r>
        <w:rPr>
          <w:rFonts w:ascii="Times New Roman" w:hAnsi="Times New Roman"/>
          <w:color w:val="000000"/>
          <w:sz w:val="20"/>
        </w:rPr>
        <w:t>. Customer agrees that it will not use or permit others to use Supplier’s logo or brand names without Supplier’s prior written consent. This does not apply whenever customer use of Supplier’s logo or names is required by a Regulatory Authority or law or regulation in connection with an application filed by the Customer relating to Customer’s Finished Product or in the use, marketing, sale, offer for sale, import or export of the Product or Customer’s Finished Product or to the extent any Supplier logo or brand name is displayed on the Product at the time of delivery.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9.4</w:t>
      </w:r>
    </w:p>
    <w:p>
      <w:pPr>
        <w:pStyle w:val="TextBody"/>
        <w:bidi w:val="0"/>
        <w:spacing w:before="0" w:after="240"/>
        <w:jc w:val="both"/>
        <w:rPr/>
      </w:pPr>
      <w:r>
        <w:rPr>
          <w:rFonts w:ascii="Times New Roman" w:hAnsi="Times New Roman"/>
          <w:color w:val="000000"/>
          <w:sz w:val="20"/>
          <w:u w:val="single"/>
        </w:rPr>
        <w:t>Remedies for Breach of Confidentiality</w:t>
      </w:r>
      <w:r>
        <w:rPr>
          <w:rFonts w:ascii="Times New Roman" w:hAnsi="Times New Roman"/>
          <w:color w:val="000000"/>
          <w:sz w:val="20"/>
        </w:rPr>
        <w:t>. Violation of these terms may cause irreparable harm; therefore, the non-breaching Party may be entitled to seek injunctive and other additional relief.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9.5</w:t>
      </w:r>
    </w:p>
    <w:p>
      <w:pPr>
        <w:pStyle w:val="TextBody"/>
        <w:bidi w:val="0"/>
        <w:spacing w:before="0" w:after="240"/>
        <w:jc w:val="both"/>
        <w:rPr/>
      </w:pPr>
      <w:r>
        <w:rPr>
          <w:rFonts w:ascii="Times New Roman" w:hAnsi="Times New Roman"/>
          <w:color w:val="000000"/>
          <w:sz w:val="20"/>
          <w:u w:val="single"/>
        </w:rPr>
        <w:t>Exclusion from Confidential Information</w:t>
      </w:r>
      <w:r>
        <w:rPr>
          <w:rFonts w:ascii="Times New Roman" w:hAnsi="Times New Roman"/>
          <w:color w:val="000000"/>
          <w:sz w:val="20"/>
        </w:rPr>
        <w:t>. CI shall not include information that is: (i) or becomes publicly available other than through a breach of this Agreement; (ii) or becomes available to Receiver from a source not known by Receiver to have a duty of confidentiality; (iii) developed by Receiver without the use of Discloser’s CI; and (iv) information not under a duty of confidentiality and known by Receiver prior to the date of this Agreement.</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8</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9.6</w:t>
      </w:r>
    </w:p>
    <w:p>
      <w:pPr>
        <w:pStyle w:val="TextBody"/>
        <w:bidi w:val="0"/>
        <w:spacing w:before="0" w:after="240"/>
        <w:jc w:val="both"/>
        <w:rPr/>
      </w:pPr>
      <w:r>
        <w:rPr>
          <w:rFonts w:ascii="Times New Roman" w:hAnsi="Times New Roman"/>
          <w:color w:val="000000"/>
          <w:sz w:val="20"/>
          <w:u w:val="single"/>
        </w:rPr>
        <w:t>Disclosure Required by Law</w:t>
      </w:r>
      <w:r>
        <w:rPr>
          <w:rFonts w:ascii="Times New Roman" w:hAnsi="Times New Roman"/>
          <w:color w:val="000000"/>
          <w:sz w:val="20"/>
        </w:rPr>
        <w:t>. The Parties’ non-disclosure obligations pursuant to this Agreement shall not apply to CI that a Receiver is required to disclose pursuant to any applicable law, subpoena, judicial action, order of the court or other governmental agency; provided, however, that the Receiver shall make all reasonable efforts to notify the Discloser in writing prior to the disclosure of such CI and allow the Discloser the opportunity to contest and avoid such disclosure at its own cost and expense, and further provided that the Receiver shall disclose only that portion of such CI that it is legally required to disclose.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9.7</w:t>
      </w:r>
    </w:p>
    <w:p>
      <w:pPr>
        <w:pStyle w:val="TextBody"/>
        <w:bidi w:val="0"/>
        <w:spacing w:before="0" w:after="240"/>
        <w:jc w:val="both"/>
        <w:rPr/>
      </w:pPr>
      <w:r>
        <w:rPr>
          <w:rFonts w:ascii="Times New Roman" w:hAnsi="Times New Roman"/>
          <w:color w:val="000000"/>
          <w:sz w:val="20"/>
          <w:u w:val="single"/>
        </w:rPr>
        <w:t>Permitted Disclosures</w:t>
      </w:r>
      <w:r>
        <w:rPr>
          <w:rFonts w:ascii="Times New Roman" w:hAnsi="Times New Roman"/>
          <w:color w:val="000000"/>
          <w:sz w:val="20"/>
        </w:rPr>
        <w:t>. Customer may also disclose the existence and terms of this Agreement to bona fide prospective investors, acquirers, merger partners, licensees and strategic partners, and, in each case, their respective professional advisors, solely in connection with the evaluation and negotiation of a potential investment, acquisition, corporate partnering, merger, license or similar transaction; provided, however, that any such disclosure shall be subject to a written confidentiality agreement with obligations of confidentiality at least as stringent as those set forth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9.8</w:t>
      </w:r>
    </w:p>
    <w:p>
      <w:pPr>
        <w:pStyle w:val="TextBody"/>
        <w:bidi w:val="0"/>
        <w:spacing w:before="0" w:after="240"/>
        <w:jc w:val="both"/>
        <w:rPr/>
      </w:pPr>
      <w:r>
        <w:rPr>
          <w:rFonts w:ascii="Times New Roman" w:hAnsi="Times New Roman"/>
          <w:color w:val="000000"/>
          <w:sz w:val="20"/>
          <w:u w:val="single"/>
        </w:rPr>
        <w:t>Public Announcements</w:t>
      </w:r>
      <w:r>
        <w:rPr>
          <w:rFonts w:ascii="Times New Roman" w:hAnsi="Times New Roman"/>
          <w:color w:val="000000"/>
          <w:sz w:val="20"/>
        </w:rPr>
        <w:t>. If either Party is (a) required to issue a press release or make another public announcement to comply with applicable law as a publicly-traded company (including any filing with a governmental authority) as advised by such Party’s legal counsel or (b) otherwise desires to issue a press release or make a public announcement regarding this Agreement or the subject matter hereof, the Parties shall coordinate with each other in advance of any such public announcement and the disclosing Party shall consider any timely comments of the non-disclosing Party in good faith, and, in the case of the filing of this Agreement or any other agreements or documents related thereto, such disclosing Party shall: (i) consult with the non-disclosing Party with respect to the preparation and submission of a redacted version of this Agreement in compliance with applicable law; (ii) provide copies of the disclosure to the non-disclosing party reasonably in advance under the circumstances of such filing or other disclosure; (iii) promptly notify the non-disclosing Party in writing of such requirement and any respective timing constraints; and (iv) give the non-disclosing Party reasonable time under the circumstances from the date of provision of a copy of such disclosure to comment upon and request confidential treatment for such disclosure.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DECLARED SHELF-LIFE - PRODUCT WARRANTY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10.1</w:t>
      </w:r>
    </w:p>
    <w:p>
      <w:pPr>
        <w:pStyle w:val="TextBody"/>
        <w:bidi w:val="0"/>
        <w:spacing w:before="0" w:after="240"/>
        <w:jc w:val="both"/>
        <w:rPr/>
      </w:pPr>
      <w:r>
        <w:rPr>
          <w:rFonts w:ascii="Times New Roman" w:hAnsi="Times New Roman"/>
          <w:color w:val="000000"/>
          <w:sz w:val="20"/>
          <w:u w:val="single"/>
        </w:rPr>
        <w:t>Declared Shelf-Life</w:t>
      </w:r>
      <w:r>
        <w:rPr>
          <w:rFonts w:ascii="Times New Roman" w:hAnsi="Times New Roman"/>
          <w:color w:val="000000"/>
          <w:sz w:val="20"/>
        </w:rPr>
        <w:t>. All Product supplied hereunder shall, at the time of delivery, comply with the shelf-life as validated and disclosed by Supplier as part of its technical documentation under Supplier´s standard storage and packaging conditions (the “</w:t>
      </w:r>
      <w:r>
        <w:rPr>
          <w:rFonts w:ascii="Times New Roman" w:hAnsi="Times New Roman"/>
          <w:b/>
          <w:color w:val="000000"/>
          <w:sz w:val="20"/>
        </w:rPr>
        <w:t>Product’s Declared Shelf Life</w:t>
      </w:r>
      <w:r>
        <w:rPr>
          <w:color w:val="000000"/>
        </w:rPr>
        <w:t>”</w:t>
      </w:r>
      <w:r>
        <w:rPr>
          <w:rFonts w:ascii="Times New Roman" w:hAnsi="Times New Roman"/>
          <w:color w:val="000000"/>
          <w:sz w:val="20"/>
        </w:rPr>
        <w:t>), provided that the Product’s Declared Shelf Life shall in no event be less than [*]. However, Customer’s Finished Product (including shelf life in Customer’s packaging with Customer’s formulation) is determined by Customer in its regulatory dossier and is not warranted by Supplier.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10.2</w:t>
      </w:r>
    </w:p>
    <w:p>
      <w:pPr>
        <w:pStyle w:val="TextBody"/>
        <w:bidi w:val="0"/>
        <w:spacing w:before="0" w:after="240"/>
        <w:jc w:val="both"/>
        <w:rPr/>
      </w:pPr>
      <w:r>
        <w:rPr>
          <w:rFonts w:ascii="Times New Roman" w:hAnsi="Times New Roman"/>
          <w:color w:val="000000"/>
          <w:sz w:val="20"/>
          <w:u w:val="single"/>
        </w:rPr>
        <w:t>Product Warranty</w:t>
      </w:r>
      <w:r>
        <w:rPr>
          <w:rFonts w:ascii="Times New Roman" w:hAnsi="Times New Roman"/>
          <w:color w:val="000000"/>
          <w:sz w:val="20"/>
        </w:rPr>
        <w:t>. Supplier warrants that on delivery the Products shall (i) be free from material defects in design, material and workmanship, (ii) conform in all material respects with the Specifications, (iii) be manufactured in compliance with all applicable laws, and (iv) be manufactured in compliance with the Registrations (the “</w:t>
      </w:r>
      <w:r>
        <w:rPr>
          <w:rFonts w:ascii="Times New Roman" w:hAnsi="Times New Roman"/>
          <w:b/>
          <w:color w:val="000000"/>
          <w:sz w:val="20"/>
        </w:rPr>
        <w:t>Product Warranty</w:t>
      </w:r>
      <w:r>
        <w:rPr>
          <w:color w:val="000000"/>
        </w:rPr>
        <w:t>”</w:t>
      </w:r>
      <w:r>
        <w:rPr>
          <w:rFonts w:ascii="Times New Roman" w:hAnsi="Times New Roman"/>
          <w:color w:val="000000"/>
          <w:sz w:val="20"/>
        </w:rPr>
        <w:t>). Without limiting the foregoing, Supplier further represents and warrants that (a) at the time of delivery, the Product will not be adulterated or misbranded within the meaning of the U.S. Federal Food, Drug and Cosmetic Act (the “</w:t>
      </w:r>
      <w:r>
        <w:rPr>
          <w:rFonts w:ascii="Times New Roman" w:hAnsi="Times New Roman"/>
          <w:b/>
          <w:color w:val="000000"/>
          <w:sz w:val="20"/>
        </w:rPr>
        <w:t>Act</w:t>
      </w:r>
      <w:r>
        <w:rPr>
          <w:color w:val="000000"/>
        </w:rPr>
        <w:t>”</w:t>
      </w:r>
      <w:r>
        <w:rPr>
          <w:rFonts w:ascii="Times New Roman" w:hAnsi="Times New Roman"/>
          <w:color w:val="000000"/>
          <w:sz w:val="20"/>
        </w:rPr>
        <w:t>), (b) at the time of delivery, the Product will not be an article which may not, under the provisions of the Act, or any similar law of any other jurisdiction, be introduced into interstate commerce to a third party, (c) the Product and their method of manufacture do not, and will not, to the best of Supplier’s knowledge, infringe any patent or trademark rights of any third party, and (d) all Product will be free and clear of all liens and encumbrances.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10.3</w:t>
      </w:r>
    </w:p>
    <w:p>
      <w:pPr>
        <w:pStyle w:val="TextBody"/>
        <w:bidi w:val="0"/>
        <w:spacing w:before="0" w:after="240"/>
        <w:jc w:val="both"/>
        <w:rPr/>
      </w:pPr>
      <w:r>
        <w:rPr>
          <w:rFonts w:ascii="Times New Roman" w:hAnsi="Times New Roman"/>
          <w:color w:val="000000"/>
          <w:sz w:val="20"/>
          <w:u w:val="single"/>
        </w:rPr>
        <w:t>Product Warranty Period</w:t>
      </w:r>
      <w:r>
        <w:rPr>
          <w:rFonts w:ascii="Times New Roman" w:hAnsi="Times New Roman"/>
          <w:color w:val="000000"/>
          <w:sz w:val="20"/>
        </w:rPr>
        <w:t>. The Product Warranty applies only if Customer notifies Supplier of: (i) any defect or non-conformity that is apparent on reasonable inspection within [*] after delivery; and (ii) any latent defect or non-conformity within [*] after discovery, but in all cases no later than [*] (the “</w:t>
      </w:r>
      <w:r>
        <w:rPr>
          <w:rFonts w:ascii="Times New Roman" w:hAnsi="Times New Roman"/>
          <w:b/>
          <w:color w:val="000000"/>
          <w:sz w:val="20"/>
        </w:rPr>
        <w:t>Product Warranty Period</w:t>
      </w:r>
      <w:r>
        <w:rPr>
          <w:color w:val="000000"/>
        </w:rPr>
        <w:t>”</w:t>
      </w:r>
      <w:r>
        <w:rPr>
          <w:rFonts w:ascii="Times New Roman" w:hAnsi="Times New Roman"/>
          <w:color w:val="000000"/>
          <w:sz w:val="20"/>
        </w:rPr>
        <w:t>). The Warranty Period is independent from the Product’s Declared Shelf Life, which is not a warranty. For clarity, the Product Warranty and the Product Warranty Period do not limit, exclude, or modify Supplier’s obligations under applicable medical-device laws and regulations (including post-market surveillance, vigilance and field safety corrective actions), product-safety law, or statutory product-liability law, all of which apply independently of and are not time limited as set forth in this Section.</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9</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10.4</w:t>
      </w:r>
    </w:p>
    <w:p>
      <w:pPr>
        <w:pStyle w:val="TextBody"/>
        <w:bidi w:val="0"/>
        <w:spacing w:before="0" w:after="240"/>
        <w:jc w:val="both"/>
        <w:rPr/>
      </w:pPr>
      <w:r>
        <w:rPr>
          <w:rFonts w:ascii="Times New Roman" w:hAnsi="Times New Roman"/>
          <w:color w:val="000000"/>
          <w:sz w:val="20"/>
          <w:u w:val="single"/>
        </w:rPr>
        <w:t>Exclusion of Supplier’s Product Warranty</w:t>
      </w:r>
      <w:r>
        <w:rPr>
          <w:rFonts w:ascii="Times New Roman" w:hAnsi="Times New Roman"/>
          <w:color w:val="000000"/>
          <w:sz w:val="20"/>
        </w:rPr>
        <w:t>. The Product Warranty does not apply if Customer notifies the non-conformity outside of the periods stated in the Product Warranty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10.5</w:t>
      </w:r>
    </w:p>
    <w:p>
      <w:pPr>
        <w:pStyle w:val="TextBody"/>
        <w:bidi w:val="0"/>
        <w:spacing w:before="0" w:after="240"/>
        <w:jc w:val="both"/>
        <w:rPr/>
      </w:pPr>
      <w:r>
        <w:rPr>
          <w:rFonts w:ascii="Times New Roman" w:hAnsi="Times New Roman"/>
          <w:color w:val="000000"/>
          <w:sz w:val="20"/>
          <w:u w:val="single"/>
        </w:rPr>
        <w:t>Remedies for Defective or Non-Conforming Products</w:t>
      </w:r>
      <w:r>
        <w:rPr>
          <w:rFonts w:ascii="Times New Roman" w:hAnsi="Times New Roman"/>
          <w:color w:val="000000"/>
          <w:sz w:val="20"/>
        </w:rPr>
        <w:t>. In respect of any defective or non-conforming Products, where the Product Warranty applies, Supplier shall, at Customer’s sole election, (i) repair the Products; or (ii) supply replacement Products; or (iii) grant to Customer a credit equal to the Price paid or payable by Customer for such Product, provided in each case that Customer, upon request, returns the relevant Products (unaltered) at Supplier’s sole risk and expense to Supplier for inspection as soon as possible. Supplier shall, as soon as is reasonably practicable, inspect such samples. If Supplier concurs with Customer’s claim, Customer may elect, in its sole discretion, the remedies set forth in this Section. If Supplier disagrees with Customer’s claim and the Parties are unable to resolve their differences, then either Party may refer the matter to an independent specialized firm of international reputation agreeable to both Parties for final analysis, which shall be a final resolution of such issue, binding on both Parties and not subject to court proceedings absent fraud or manifest error. If the Product is determined to have met the warranty in Section 10.2, then [*] shall bear the cost of the independent laboratory testing pursuant to this Section 10.5. If the Product is determined not to have met such warranty, then [*] shall bear the costs of such laboratory testing and Supplier shall (at Customer’s option) either replace (as soon as reasonably practicable) the defective Product without any cost to Customer or credit Customer for the amount of the Price of such quantities of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10.6</w:t>
      </w:r>
    </w:p>
    <w:p>
      <w:pPr>
        <w:pStyle w:val="TextBody"/>
        <w:bidi w:val="0"/>
        <w:spacing w:before="0" w:after="240"/>
        <w:jc w:val="both"/>
        <w:rPr/>
      </w:pPr>
      <w:r>
        <w:rPr>
          <w:rFonts w:ascii="Times New Roman" w:hAnsi="Times New Roman"/>
          <w:color w:val="000000"/>
          <w:sz w:val="20"/>
          <w:u w:val="single"/>
        </w:rPr>
        <w:t>Disclaimer of additional warranties</w:t>
      </w:r>
      <w:r>
        <w:rPr>
          <w:rFonts w:ascii="Times New Roman" w:hAnsi="Times New Roman"/>
          <w:color w:val="000000"/>
          <w:sz w:val="20"/>
        </w:rPr>
        <w:t>. The foregoing Product Warranty, and any other warranty expressly set forth in this Agreement, is in lieu of any other warranty, whether written, oral, express or implied, including but not limited to, any warranty from hidden defects, merchantability and/or fitness for particular purpose, non-infringement, and any warranty allegedly arising from any (i) representation made or advice given by or on behalf of Supplier with respect to a Product or (ii) description of any Product or sample of Product. All other warranties, conditions or undertakings as to quality or description (howsoever made or implied) shall be excluded to the fullest extent permitted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10.7</w:t>
      </w:r>
    </w:p>
    <w:p>
      <w:pPr>
        <w:pStyle w:val="TextBody"/>
        <w:bidi w:val="0"/>
        <w:spacing w:before="0" w:after="240"/>
        <w:jc w:val="both"/>
        <w:rPr/>
      </w:pPr>
      <w:r>
        <w:rPr>
          <w:rFonts w:ascii="Times New Roman" w:hAnsi="Times New Roman"/>
          <w:color w:val="000000"/>
          <w:sz w:val="20"/>
          <w:u w:val="single"/>
        </w:rPr>
        <w:t>Customer’s Responsibility for Medical Use and Regulatory Information</w:t>
      </w:r>
      <w:r>
        <w:rPr>
          <w:rFonts w:ascii="Times New Roman" w:hAnsi="Times New Roman"/>
          <w:color w:val="000000"/>
          <w:sz w:val="20"/>
        </w:rPr>
        <w:t>. Customer shall use the Products as the device constituent of Customer’s Finished Product under its sole responsibility. Customer shall inform Supplier in writing of the applicable intended medical use to enable Supplier to comply with its own quality-system and regulatory obligations. This notification does not constitute Supplier’s approval of the intended use and does not expand Supplier’s warranties or responsibilities.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RECALL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11.1</w:t>
      </w:r>
    </w:p>
    <w:p>
      <w:pPr>
        <w:pStyle w:val="TextBody"/>
        <w:bidi w:val="0"/>
        <w:spacing w:before="0" w:after="240"/>
        <w:jc w:val="both"/>
        <w:rPr/>
      </w:pPr>
      <w:r>
        <w:rPr>
          <w:rFonts w:ascii="Times New Roman" w:hAnsi="Times New Roman"/>
          <w:color w:val="000000"/>
          <w:sz w:val="20"/>
          <w:u w:val="single"/>
        </w:rPr>
        <w:t>Collaboration in good faith</w:t>
      </w:r>
      <w:r>
        <w:rPr>
          <w:rFonts w:ascii="Times New Roman" w:hAnsi="Times New Roman"/>
          <w:color w:val="000000"/>
          <w:sz w:val="20"/>
        </w:rPr>
        <w:t>. In the event that any governmental or regulatory authority requests or recommends any corrective action, field action or recall with respect to any Product or to any Customer’s Finished Product in which the Product is incorporated, the Parties shall promptly discuss in good faith regarding the appropriate response. Regulatory-mandated corrective actions or recalls shall take precedence over any contrary instruction from Customer.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11.2</w:t>
      </w:r>
    </w:p>
    <w:p>
      <w:pPr>
        <w:pStyle w:val="TextBody"/>
        <w:bidi w:val="0"/>
        <w:spacing w:before="0" w:after="240"/>
        <w:jc w:val="both"/>
        <w:rPr/>
      </w:pPr>
      <w:r>
        <w:rPr>
          <w:rFonts w:ascii="Times New Roman" w:hAnsi="Times New Roman"/>
          <w:color w:val="000000"/>
          <w:sz w:val="20"/>
          <w:u w:val="single"/>
        </w:rPr>
        <w:t>Root-cause analysis limited to the Product</w:t>
      </w:r>
      <w:r>
        <w:rPr>
          <w:rFonts w:ascii="Times New Roman" w:hAnsi="Times New Roman"/>
          <w:color w:val="000000"/>
          <w:sz w:val="20"/>
        </w:rPr>
        <w:t>. Supplier shall, as soon as reasonably practicable following receipt of sufficient information from Customer, (i) perform a root-cause analysis limited to the Product as manufactured and supplied by Supplier, and (ii) provide Customer with a complete report detailing the findings and any corrective measures applicable to Supplier’s manufacturing process, if any. For clarity, Supplier shall only be responsible for investigating aspects within its reasonable control, and shall not be required to assess, evaluate, or assume responsibility for potential causes arising from Customer’s formulation, filling, assembly, integration into Customer’s Finished Product, testing, storage, or transport or any third-party processes. Customer is solely responsible for recall decision-making, execution, communication to authorities, and notifications to healthcare providers or patients relating to Customer’s Finished Product. Notwithstanding the foregoing, where the safety issue is reasonably attributable to the Product as manufactured and supplied by Supplier, Supplier shall lead the FSCA/FSN and required regulatory notifications for the Product; Customer shall cascade FSNs within its distribution chain.</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10</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11.3</w:t>
      </w:r>
    </w:p>
    <w:p>
      <w:pPr>
        <w:pStyle w:val="TextBody"/>
        <w:bidi w:val="0"/>
        <w:spacing w:before="0" w:after="240"/>
        <w:jc w:val="both"/>
        <w:rPr/>
      </w:pPr>
      <w:r>
        <w:rPr>
          <w:rFonts w:ascii="Times New Roman" w:hAnsi="Times New Roman"/>
          <w:color w:val="000000"/>
          <w:sz w:val="20"/>
          <w:u w:val="single"/>
        </w:rPr>
        <w:t>Costs</w:t>
      </w:r>
      <w:r>
        <w:rPr>
          <w:rFonts w:ascii="Times New Roman" w:hAnsi="Times New Roman"/>
          <w:color w:val="000000"/>
          <w:sz w:val="20"/>
        </w:rPr>
        <w:t>. To the extent the corrective action or recall is caused by Supplier’s breach of its express Product Warranty under this Agreement, Supplier shall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11.4</w:t>
      </w:r>
    </w:p>
    <w:p>
      <w:pPr>
        <w:pStyle w:val="TextBody"/>
        <w:bidi w:val="0"/>
        <w:spacing w:before="0" w:after="240"/>
        <w:jc w:val="both"/>
        <w:rPr/>
      </w:pPr>
      <w:r>
        <w:rPr>
          <w:rFonts w:ascii="Times New Roman" w:hAnsi="Times New Roman"/>
          <w:color w:val="000000"/>
          <w:sz w:val="20"/>
          <w:u w:val="single"/>
        </w:rPr>
        <w:t>Sole responsibility of Customer</w:t>
      </w:r>
      <w:r>
        <w:rPr>
          <w:rFonts w:ascii="Times New Roman" w:hAnsi="Times New Roman"/>
          <w:color w:val="000000"/>
          <w:sz w:val="20"/>
        </w:rPr>
        <w:t>. All recall-related decisions concerning Customer’s Finished Product shall remain the sole responsibility of Customer. Customer shall keep Supplier promptly informed of any regulatory communications that directly relate to the Product and shall provide Supplier with all reasonably necessary information to permit an accurate investigation. No admission of fault shall be inferred from Supplier’s cooperation under this Section.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LIABILITY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12.1</w:t>
      </w:r>
    </w:p>
    <w:p>
      <w:pPr>
        <w:pStyle w:val="TextBody"/>
        <w:bidi w:val="0"/>
        <w:spacing w:before="0" w:after="240"/>
        <w:jc w:val="both"/>
        <w:rPr/>
      </w:pPr>
      <w:r>
        <w:rPr>
          <w:rFonts w:ascii="Times New Roman" w:hAnsi="Times New Roman"/>
          <w:color w:val="000000"/>
          <w:sz w:val="20"/>
          <w:u w:val="single"/>
        </w:rPr>
        <w:t>Exclusion of Indirect and Consequential Damages</w:t>
      </w:r>
      <w:r>
        <w:rPr>
          <w:rFonts w:ascii="Times New Roman" w:hAnsi="Times New Roman"/>
          <w:color w:val="000000"/>
          <w:sz w:val="20"/>
        </w:rPr>
        <w:t>. Except with respect to a Party’s indemnification obligations under Section 13, in no event shall either Party be liable to the other Party for any indirect, special, incidental, consequential, statutory, punitive or exemplary damages arising under or in connection with this Agreement including, without limitation, loss of business or profits or other economic losses or interruption of business, regardless of the nature of the claim or theory of recovery.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12.2</w:t>
      </w:r>
    </w:p>
    <w:p>
      <w:pPr>
        <w:pStyle w:val="TextBody"/>
        <w:bidi w:val="0"/>
        <w:spacing w:before="0" w:after="240"/>
        <w:jc w:val="both"/>
        <w:rPr/>
      </w:pPr>
      <w:r>
        <w:rPr>
          <w:rFonts w:ascii="Times New Roman" w:hAnsi="Times New Roman"/>
          <w:color w:val="000000"/>
          <w:sz w:val="20"/>
          <w:u w:val="single"/>
        </w:rPr>
        <w:t>Liability Cap</w:t>
      </w:r>
      <w:r>
        <w:rPr>
          <w:rFonts w:ascii="Times New Roman" w:hAnsi="Times New Roman"/>
          <w:color w:val="000000"/>
          <w:sz w:val="20"/>
        </w:rPr>
        <w:t>. Except with respect to liabilities that cannot lawfully be limited or excluded pursuant to Section 12.3., in no event shall either Party’s total aggregate liability to the other Party for any and all claims, damages, losses, costs or liabilities arising out of or in connection with this Agreement (including indemnification obligations under Section 13), regardless of the nature of the claim or theory of recovery, exceed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12.3</w:t>
      </w:r>
    </w:p>
    <w:p>
      <w:pPr>
        <w:pStyle w:val="TextBody"/>
        <w:bidi w:val="0"/>
        <w:spacing w:before="0" w:after="240"/>
        <w:jc w:val="both"/>
        <w:rPr/>
      </w:pPr>
      <w:r>
        <w:rPr>
          <w:rFonts w:ascii="Times New Roman" w:hAnsi="Times New Roman"/>
          <w:color w:val="000000"/>
          <w:sz w:val="20"/>
          <w:u w:val="single"/>
        </w:rPr>
        <w:t>Non-Excludable Liabilities</w:t>
      </w:r>
      <w:r>
        <w:rPr>
          <w:rFonts w:ascii="Times New Roman" w:hAnsi="Times New Roman"/>
          <w:color w:val="000000"/>
          <w:sz w:val="20"/>
        </w:rPr>
        <w:t>. Notwithstanding any other provision of this Agreement, no limitation or exclusion of liability shall apply in the cases in which such limitation or exclusion would be unlawful under applicable law. Notably, nothing in this Agreement shall operate to exclude or limit either Party’s liability for (i) fraud or fraudulent misrepresentation; and/or (ii) wilful misconduct or gross negligence; and/or (iii) death or personal injury caused by that Party; and/or (iv) liabilities which cannot lawfully be excluded under applicable product-safety or statutory product-liability laws, and any mandatory recall, vigilance or field safety obligations. For the avoidance of doubt, all other limitations and exclusions of liability set forth in this Agreement shall remain valid and enforceable to the maximum extent permitted by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12.4</w:t>
      </w:r>
    </w:p>
    <w:p>
      <w:pPr>
        <w:pStyle w:val="TextBody"/>
        <w:bidi w:val="0"/>
        <w:spacing w:before="0" w:after="240"/>
        <w:jc w:val="both"/>
        <w:rPr/>
      </w:pPr>
      <w:r>
        <w:rPr>
          <w:rFonts w:ascii="Times New Roman" w:hAnsi="Times New Roman"/>
          <w:color w:val="000000"/>
          <w:sz w:val="20"/>
          <w:u w:val="single"/>
        </w:rPr>
        <w:t>Insurance</w:t>
      </w:r>
      <w:r>
        <w:rPr>
          <w:rFonts w:ascii="Times New Roman" w:hAnsi="Times New Roman"/>
          <w:color w:val="000000"/>
          <w:sz w:val="20"/>
        </w:rPr>
        <w:t>. Each Party shall maintain, during the Term and for [*] thereafter, insurance coverage with financially sound and reputable insurers in such types and amounts as are commercially reasonable in light of such Party’s obligations under this Agreement. Upon reasonable written request, each Party shall provide the other Party with certificates of insurance or other reasonable evidence of such coverage, subject to customary confidentiality restrictions.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INDEMNITIES FOR THIRD PARTY CLAIMS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13.1</w:t>
      </w:r>
    </w:p>
    <w:p>
      <w:pPr>
        <w:pStyle w:val="TextBody"/>
        <w:bidi w:val="0"/>
        <w:spacing w:before="0" w:after="240"/>
        <w:jc w:val="both"/>
        <w:rPr/>
      </w:pPr>
      <w:r>
        <w:rPr>
          <w:rFonts w:ascii="Times New Roman" w:hAnsi="Times New Roman"/>
          <w:color w:val="000000"/>
          <w:sz w:val="20"/>
          <w:u w:val="single"/>
        </w:rPr>
        <w:t>Customer Indemnity</w:t>
      </w:r>
      <w:r>
        <w:rPr>
          <w:rFonts w:ascii="Times New Roman" w:hAnsi="Times New Roman"/>
          <w:color w:val="000000"/>
          <w:sz w:val="20"/>
        </w:rPr>
        <w:t>. Customer shall defend and indemnify Supplier, its Affiliates, and their directors, officers, employees, and agents against any third party claim, loss, liability, damage, fine, penalty, cost and expense (including reasonable legal fees) arising out of or relating to (i) the development, manufacture, commercialization or exploitation of Customer’s Finished Product (including any non-compliance of Customer’s Finished Product with applicable laws and regulations (including labeling, PMS, PMCF, vigilance and market actions under Customer’s responsibility); (ii) negligence, recklessness or willful misconduct of Customer (or its Affiliates or contractors) in the performance of its obligations hereunder; or (iii) Customer’s breach of this Agreement; in each case except to the extent Supplier is obligated to indemnify Customer pursuant to Section 13.2.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13.2</w:t>
      </w:r>
    </w:p>
    <w:p>
      <w:pPr>
        <w:pStyle w:val="TextBody"/>
        <w:bidi w:val="0"/>
        <w:spacing w:before="0" w:after="240"/>
        <w:jc w:val="both"/>
        <w:rPr/>
      </w:pPr>
      <w:r>
        <w:rPr>
          <w:rFonts w:ascii="Times New Roman" w:hAnsi="Times New Roman"/>
          <w:color w:val="000000"/>
          <w:sz w:val="20"/>
          <w:u w:val="single"/>
        </w:rPr>
        <w:t>Supplier Indemnity</w:t>
      </w:r>
      <w:r>
        <w:rPr>
          <w:rFonts w:ascii="Times New Roman" w:hAnsi="Times New Roman"/>
          <w:color w:val="000000"/>
          <w:sz w:val="20"/>
        </w:rPr>
        <w:t xml:space="preserve">. Supplier shall defend and indemnify Customer, its Affiliates, and their directors, officers, employees, and agents against any third party claim, loss, liability, damage, fine, penalty, cost and expense (including reasonable legal fees) arising out of or relating to (i) death or personal injury, or (ii) tangible property damage, to the extent caused by a defect in the Product as delivered by Supplier and used in accordance with the instructions for use (IFU), (iii) solely a third party claim that the Product, standing alone </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11</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as delivered by Supplier, infringes a patent, trademark or copyright in the country of delivery, (iv) the failure of a Product to meet the warranties set forth in Section 10.1, (v) any breach by Supplier of any of its representations, warranties, covenants, agreements or obligations under this Agreement, or (vi) the negligence, recklessness or willful misconduct of Supplier (or its Affiliates or contractors) in the performance of its obligations hereunder; in each case except to the extent Customer is obligated to indemnify Supplier pursuant to Section 13.1.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13.3</w:t>
      </w:r>
    </w:p>
    <w:p>
      <w:pPr>
        <w:pStyle w:val="TextBody"/>
        <w:bidi w:val="0"/>
        <w:spacing w:before="0" w:after="240"/>
        <w:jc w:val="both"/>
        <w:rPr/>
      </w:pPr>
      <w:r>
        <w:rPr>
          <w:rFonts w:ascii="Times New Roman" w:hAnsi="Times New Roman"/>
          <w:color w:val="000000"/>
          <w:sz w:val="20"/>
          <w:u w:val="single"/>
        </w:rPr>
        <w:t>Procedure</w:t>
      </w:r>
      <w:r>
        <w:rPr>
          <w:rFonts w:ascii="Times New Roman" w:hAnsi="Times New Roman"/>
          <w:color w:val="000000"/>
          <w:sz w:val="20"/>
        </w:rPr>
        <w:t>. The indemnified Party shall: (i) give prompt written notice of the claim (delay only relieving the indemnifying Party to the extent prejudiced); (ii) grant the indemnifying Party sole control of the defense and settlement (no settlement that admits fault or imposes non-monetary obligations on the indemnified Party without its prior written consent); and (iii) provide reasonable cooperation at the indemnifying Party’s expense.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13.4</w:t>
      </w:r>
    </w:p>
    <w:p>
      <w:pPr>
        <w:pStyle w:val="TextBody"/>
        <w:bidi w:val="0"/>
        <w:spacing w:before="0" w:after="240"/>
        <w:jc w:val="both"/>
        <w:rPr/>
      </w:pPr>
      <w:r>
        <w:rPr>
          <w:rFonts w:ascii="Times New Roman" w:hAnsi="Times New Roman"/>
          <w:color w:val="000000"/>
          <w:sz w:val="20"/>
          <w:u w:val="single"/>
        </w:rPr>
        <w:t>Relation to Recalls / FSCA</w:t>
      </w:r>
      <w:r>
        <w:rPr>
          <w:rFonts w:ascii="Times New Roman" w:hAnsi="Times New Roman"/>
          <w:color w:val="000000"/>
          <w:sz w:val="20"/>
        </w:rPr>
        <w:t>. Field actions, recalls and vigilance obligations remain governed by Section 11 (Recall); this Section does not alter the cost allocation agreed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13.5</w:t>
      </w:r>
    </w:p>
    <w:p>
      <w:pPr>
        <w:pStyle w:val="TextBody"/>
        <w:bidi w:val="0"/>
        <w:spacing w:before="0" w:after="240"/>
        <w:jc w:val="both"/>
        <w:rPr/>
      </w:pPr>
      <w:r>
        <w:rPr>
          <w:rFonts w:ascii="Times New Roman" w:hAnsi="Times New Roman"/>
          <w:color w:val="000000"/>
          <w:sz w:val="20"/>
          <w:u w:val="single"/>
        </w:rPr>
        <w:t>Caps; Non-Excludable</w:t>
      </w:r>
      <w:r>
        <w:rPr>
          <w:rFonts w:ascii="Times New Roman" w:hAnsi="Times New Roman"/>
          <w:color w:val="000000"/>
          <w:sz w:val="20"/>
        </w:rPr>
        <w:t>. For the avoidance of doubt, either Party’s indemnification obligations shall be subject to the aggregate liability cap set forth in Section 12.2, except that no limitation applies to liabilities that cannot lawfully be limited or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FORCE MAJEURE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14.1</w:t>
      </w:r>
    </w:p>
    <w:p>
      <w:pPr>
        <w:pStyle w:val="TextBody"/>
        <w:bidi w:val="0"/>
        <w:spacing w:before="0" w:after="240"/>
        <w:jc w:val="both"/>
        <w:rPr/>
      </w:pPr>
      <w:r>
        <w:rPr>
          <w:rFonts w:ascii="Times New Roman" w:hAnsi="Times New Roman"/>
          <w:color w:val="000000"/>
          <w:sz w:val="20"/>
          <w:u w:val="single"/>
        </w:rPr>
        <w:t>Events Constituting Force Majeure and Excused Performance</w:t>
      </w:r>
      <w:r>
        <w:rPr>
          <w:rFonts w:ascii="Times New Roman" w:hAnsi="Times New Roman"/>
          <w:color w:val="000000"/>
          <w:sz w:val="20"/>
        </w:rPr>
        <w:t>. Delay in performance or failure to perform hereunder by either Party (other than obligations to make payments when due) shall be excused to the extent caused by circumstances beyond the reasonable control of the Party claiming such excuse (including without limitation, acts of God, riots, war, armed conflict, terrorist attacks, rebellion, nuclear disaster, volcanic eruptions, fires, lock-outs, strikes or other labor disputes, unusually severe weather, transportation problems, energy shortages, raw material shortages, power outages, accident, fire, explosion, flood, pandemic, epidemic, machine breakdown, inability to obtain supplies, or governmental actions) (each a “</w:t>
      </w:r>
      <w:r>
        <w:rPr>
          <w:rFonts w:ascii="Times New Roman" w:hAnsi="Times New Roman"/>
          <w:b/>
          <w:color w:val="000000"/>
          <w:sz w:val="20"/>
        </w:rPr>
        <w:t>Force Majeure</w:t>
      </w:r>
      <w:r>
        <w:rPr>
          <w:color w:val="000000"/>
        </w:rPr>
        <w:t>”</w:t>
      </w:r>
      <w:r>
        <w:rPr>
          <w:rFonts w:ascii="Times New Roman" w:hAnsi="Times New Roman"/>
          <w:color w:val="000000"/>
          <w:sz w:val="20"/>
        </w:rPr>
        <w:t>). In such event, the Party affected will use reasonable efforts to resume performance of its obligations and will keep the other Party informed of actions related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14.2</w:t>
      </w:r>
    </w:p>
    <w:p>
      <w:pPr>
        <w:pStyle w:val="TextBody"/>
        <w:bidi w:val="0"/>
        <w:spacing w:before="0" w:after="240"/>
        <w:jc w:val="both"/>
        <w:rPr/>
      </w:pPr>
      <w:r>
        <w:rPr>
          <w:rFonts w:ascii="Times New Roman" w:hAnsi="Times New Roman"/>
          <w:color w:val="000000"/>
          <w:sz w:val="20"/>
          <w:u w:val="single"/>
        </w:rPr>
        <w:t>Notice Requirements</w:t>
      </w:r>
      <w:r>
        <w:rPr>
          <w:rFonts w:ascii="Times New Roman" w:hAnsi="Times New Roman"/>
          <w:color w:val="000000"/>
          <w:sz w:val="20"/>
        </w:rPr>
        <w:t>. The Party claiming such circumstances shall give written notice to the other Party as soon as reasonably practicable, giving its best estimate of the expected period of delay.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14.3</w:t>
      </w:r>
    </w:p>
    <w:p>
      <w:pPr>
        <w:pStyle w:val="TextBody"/>
        <w:bidi w:val="0"/>
        <w:spacing w:before="0" w:after="240"/>
        <w:jc w:val="both"/>
        <w:rPr/>
      </w:pPr>
      <w:r>
        <w:rPr>
          <w:rFonts w:ascii="Times New Roman" w:hAnsi="Times New Roman"/>
          <w:color w:val="000000"/>
          <w:sz w:val="20"/>
          <w:u w:val="single"/>
        </w:rPr>
        <w:t>Termination Rights for Prolonged Force Majeure</w:t>
      </w:r>
      <w:r>
        <w:rPr>
          <w:rFonts w:ascii="Times New Roman" w:hAnsi="Times New Roman"/>
          <w:color w:val="000000"/>
          <w:sz w:val="20"/>
        </w:rPr>
        <w:t>. If a Force Majeure event continues for a period of more than [*], the non-affected Party may terminate this Agreement upon written notice to the delayed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RECORDS – REGULATORY COMPLIANCE – AUDITS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15.1</w:t>
      </w:r>
    </w:p>
    <w:p>
      <w:pPr>
        <w:pStyle w:val="TextBody"/>
        <w:bidi w:val="0"/>
        <w:spacing w:before="0" w:after="240"/>
        <w:jc w:val="both"/>
        <w:rPr/>
      </w:pPr>
      <w:r>
        <w:rPr>
          <w:rFonts w:ascii="Times New Roman" w:hAnsi="Times New Roman"/>
          <w:color w:val="000000"/>
          <w:sz w:val="20"/>
          <w:u w:val="single"/>
        </w:rPr>
        <w:t>Regulatory Status of the Devices; Roles</w:t>
      </w:r>
      <w:r>
        <w:rPr>
          <w:rFonts w:ascii="Times New Roman" w:hAnsi="Times New Roman"/>
          <w:color w:val="000000"/>
          <w:sz w:val="20"/>
        </w:rPr>
        <w:t xml:space="preserve">. The regulatory status of the Product is as set forth in </w:t>
      </w:r>
      <w:r>
        <w:rPr>
          <w:rFonts w:ascii="Times New Roman" w:hAnsi="Times New Roman"/>
          <w:color w:val="000000"/>
          <w:sz w:val="20"/>
          <w:u w:val="single"/>
        </w:rPr>
        <w:t>Schedule 1-A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15.2</w:t>
      </w:r>
    </w:p>
    <w:p>
      <w:pPr>
        <w:pStyle w:val="TextBody"/>
        <w:bidi w:val="0"/>
        <w:spacing w:before="0" w:after="240"/>
        <w:jc w:val="both"/>
        <w:rPr/>
      </w:pPr>
      <w:r>
        <w:rPr>
          <w:rFonts w:ascii="Times New Roman" w:hAnsi="Times New Roman"/>
          <w:color w:val="000000"/>
          <w:sz w:val="20"/>
          <w:u w:val="single"/>
        </w:rPr>
        <w:t>Customer’s Finished Product</w:t>
      </w:r>
      <w:r>
        <w:rPr>
          <w:rFonts w:ascii="Times New Roman" w:hAnsi="Times New Roman"/>
          <w:color w:val="000000"/>
          <w:sz w:val="20"/>
        </w:rPr>
        <w:t>. Customer remains solely responsible for the regulatory approval, labeling, clinical, PMS/PMCF, vigilance, and market actions of the finished drug–device combination product, including any submissions referencing Supplier’s Product or DMF. This allocation aligns with MDR obligations placed on the legal manufacturer of the marketed product and FDA/OCP practice for combination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15.3</w:t>
      </w:r>
    </w:p>
    <w:p>
      <w:pPr>
        <w:pStyle w:val="TextBody"/>
        <w:bidi w:val="0"/>
        <w:spacing w:before="0" w:after="240"/>
        <w:jc w:val="both"/>
        <w:rPr/>
      </w:pPr>
      <w:r>
        <w:rPr>
          <w:rFonts w:ascii="Times New Roman" w:hAnsi="Times New Roman"/>
          <w:color w:val="000000"/>
          <w:sz w:val="20"/>
          <w:u w:val="single"/>
        </w:rPr>
        <w:t>Information support</w:t>
      </w:r>
      <w:r>
        <w:rPr>
          <w:rFonts w:ascii="Times New Roman" w:hAnsi="Times New Roman"/>
          <w:color w:val="000000"/>
          <w:sz w:val="20"/>
        </w:rPr>
        <w:t>. Upon reasonable written request, Supplier shall provide high-level summaries and standard technical statements documentation needed for Customer’s conformity assessment or regulatory filings (e.g., material declarations, risk-management summaries, verification/validation summaries), subject to confidentiality and Supplier’s right to redact protectable know-how, proprietary processes, or information unrelated to the Products.</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12</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15.4</w:t>
      </w:r>
    </w:p>
    <w:p>
      <w:pPr>
        <w:pStyle w:val="TextBody"/>
        <w:bidi w:val="0"/>
        <w:spacing w:before="0" w:after="240"/>
        <w:jc w:val="both"/>
        <w:rPr/>
      </w:pPr>
      <w:r>
        <w:rPr>
          <w:rFonts w:ascii="Times New Roman" w:hAnsi="Times New Roman"/>
          <w:color w:val="000000"/>
          <w:sz w:val="20"/>
          <w:u w:val="single"/>
        </w:rPr>
        <w:t>Maintenance of Records</w:t>
      </w:r>
      <w:r>
        <w:rPr>
          <w:rFonts w:ascii="Times New Roman" w:hAnsi="Times New Roman"/>
          <w:color w:val="000000"/>
          <w:sz w:val="20"/>
        </w:rPr>
        <w:t>. All manufacturing records with respect to the Products [*] (“</w:t>
      </w:r>
      <w:r>
        <w:rPr>
          <w:rFonts w:ascii="Times New Roman" w:hAnsi="Times New Roman"/>
          <w:b/>
          <w:color w:val="000000"/>
          <w:sz w:val="20"/>
        </w:rPr>
        <w:t>Manufacturing Records</w:t>
      </w:r>
      <w:r>
        <w:rPr>
          <w:color w:val="000000"/>
        </w:rPr>
        <w:t>”</w:t>
      </w:r>
      <w:r>
        <w:rPr>
          <w:rFonts w:ascii="Times New Roman" w:hAnsi="Times New Roman"/>
          <w:color w:val="000000"/>
          <w:sz w:val="20"/>
        </w:rPr>
        <w:t>) shall be created, maintained, and retained by Supplier in compliance with all applicable medical device laws and regulations, including, as applicable, the U.S. Federal Food, Drug, and Cosmetic Act and FDA implementing regulations (including 21 C.F.R. Parts 210, 211, and 820) and Regulation (EU) 2017/745 on medical devices (MDR), as amended from time to time. Supplier shall retain the Manufacturing Records for a period required by applicable law for medical devices following the expiry of Product for each lot of Product to which said records pertain. Supplier shall provide Customer with complete and accurate copies of the Manufacturing Records for each Product, upon Customer’s request. In all cases, Supplier shall notify Customer of any intention to destroy such Manufacturing Records and shall afford Customer the opportunity to obtain such records from Supplier.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15.5</w:t>
      </w:r>
    </w:p>
    <w:p>
      <w:pPr>
        <w:pStyle w:val="TextBody"/>
        <w:bidi w:val="0"/>
        <w:spacing w:before="0" w:after="240"/>
        <w:jc w:val="both"/>
        <w:rPr/>
      </w:pPr>
      <w:r>
        <w:rPr>
          <w:rFonts w:ascii="Times New Roman" w:hAnsi="Times New Roman"/>
          <w:color w:val="000000"/>
          <w:sz w:val="20"/>
          <w:u w:val="single"/>
        </w:rPr>
        <w:t>Customer Audits</w:t>
      </w:r>
      <w:r>
        <w:rPr>
          <w:rFonts w:ascii="Times New Roman" w:hAnsi="Times New Roman"/>
          <w:color w:val="000000"/>
          <w:sz w:val="20"/>
        </w:rPr>
        <w:t>. During the Term, Customer may conduct [*] audit per calendar year, at a mutually agreed time during normal business hours, strictly limited to [*]. Additional [*] audits are permitted where there are [*]. All auditors must sign Supplier’s confidentiality and EHS terms. Customer shall have no right to access unrelated production lines, Supplier’s financial records or confidential third party or process information. Supplier shall use commercially reasonable efforts to provide a written response to any audit findings within [*] of receipt of such observations and conclusions. The Parties will discuss such response and Supplier shall promptly implement (and cause to be implemented) corrective actions which are mutually agreed and reasonably satisfactory to Customer; provided, however, that Customer may, in its sole discretion, accept Product from Supplier prior to Supplier’s completion of all corrective action. Customer shall have the right to review relevant documentation in connection therewith, with the exception of Supplier´s financial records.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15.6</w:t>
      </w:r>
    </w:p>
    <w:p>
      <w:pPr>
        <w:pStyle w:val="TextBody"/>
        <w:bidi w:val="0"/>
        <w:spacing w:before="0" w:after="240"/>
        <w:jc w:val="both"/>
        <w:rPr/>
      </w:pPr>
      <w:r>
        <w:rPr>
          <w:rFonts w:ascii="Times New Roman" w:hAnsi="Times New Roman"/>
          <w:color w:val="000000"/>
          <w:sz w:val="20"/>
          <w:u w:val="single"/>
        </w:rPr>
        <w:t>Debarment</w:t>
      </w:r>
      <w:r>
        <w:rPr>
          <w:rFonts w:ascii="Times New Roman" w:hAnsi="Times New Roman"/>
          <w:color w:val="000000"/>
          <w:sz w:val="20"/>
        </w:rPr>
        <w:t>. Supplier agrees that in performing its obligations under this Agreement, it (and its Affiliates and subcontractors) will not be, or employ or use any person that has been, debarred under Section 306(a) or 306(b) of the Act (or the foreign equivalent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15.7</w:t>
      </w:r>
    </w:p>
    <w:p>
      <w:pPr>
        <w:pStyle w:val="TextBody"/>
        <w:bidi w:val="0"/>
        <w:spacing w:before="0" w:after="240"/>
        <w:jc w:val="both"/>
        <w:rPr/>
      </w:pPr>
      <w:r>
        <w:rPr>
          <w:rFonts w:ascii="Times New Roman" w:hAnsi="Times New Roman"/>
          <w:color w:val="000000"/>
          <w:sz w:val="20"/>
          <w:u w:val="single"/>
        </w:rPr>
        <w:t>Regulatory &amp; Notified Body Access</w:t>
      </w:r>
      <w:r>
        <w:rPr>
          <w:rFonts w:ascii="Times New Roman" w:hAnsi="Times New Roman"/>
          <w:color w:val="000000"/>
          <w:sz w:val="20"/>
        </w:rPr>
        <w:t>. Supplier will cooperate with competent authority (e.g., Regulatory Authority) and Notified Body inspections insofar as they relate to the Product, including where unannounced audits are mandated under MDR; access may be limited to relevant areas and accompanied by Supplier personnel. Customer acknowledges such audits are outside Supplier’s control; fees and costs charged by authorities/NBs are Supplier’s for Product compliance, except where the audit arises from Customer’s use, integration or Customer’s Finished Product issues. Supplier shall advise Customer as soon as practicably possible of any Regulatory Authority visit that relates to a Product or the Supplier’s facility(ies) where Product is manufactured, or any written or oral inquiries by such Regulatory Authority concerning the Product (including safety and efficacy claims) or any such facility. If such visit or inspection is related to the Product, Supplier shall, to the extent allowed by applicable law, allow one or more representatives of Customer to attend. To the extent allowed by applicable law, Supplier shall promptly furnish Customer [*]. Supplier shall reasonably consult with Customer regarding any communications or responses directly related to the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15.8</w:t>
      </w:r>
    </w:p>
    <w:p>
      <w:pPr>
        <w:pStyle w:val="TextBody"/>
        <w:bidi w:val="0"/>
        <w:spacing w:before="0" w:after="240"/>
        <w:jc w:val="both"/>
        <w:rPr/>
      </w:pPr>
      <w:r>
        <w:rPr>
          <w:rFonts w:ascii="Times New Roman" w:hAnsi="Times New Roman"/>
          <w:color w:val="000000"/>
          <w:sz w:val="20"/>
          <w:u w:val="single"/>
        </w:rPr>
        <w:t>Business Continuity Notice Obligation</w:t>
      </w:r>
      <w:r>
        <w:rPr>
          <w:rFonts w:ascii="Times New Roman" w:hAnsi="Times New Roman"/>
          <w:color w:val="000000"/>
          <w:sz w:val="20"/>
        </w:rPr>
        <w:t>. Supplier shall promptly notify Customer if Supplier becomes aware of any circumstance that could reasonably threaten the continuity of supply of the Product, including: (i) regulatory enforcement actions; (ii) NB findings affecting certification; (iii) Material shortages; (iv) facility shutdown; or (v) other events affecting Supplier’s ability to manufacture or release Product. Supplier shall provide periodic updates and cooperate in good faith to mitigate such interruption.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15.9</w:t>
      </w:r>
    </w:p>
    <w:p>
      <w:pPr>
        <w:pStyle w:val="TextBody"/>
        <w:bidi w:val="0"/>
        <w:spacing w:before="0" w:after="240"/>
        <w:jc w:val="both"/>
        <w:rPr/>
      </w:pPr>
      <w:r>
        <w:rPr>
          <w:rFonts w:ascii="Times New Roman" w:hAnsi="Times New Roman"/>
          <w:color w:val="000000"/>
          <w:sz w:val="20"/>
          <w:u w:val="single"/>
        </w:rPr>
        <w:t>Classification Advice/ No Expanded Warranty</w:t>
      </w:r>
      <w:r>
        <w:rPr>
          <w:rFonts w:ascii="Times New Roman" w:hAnsi="Times New Roman"/>
          <w:color w:val="000000"/>
          <w:sz w:val="20"/>
        </w:rPr>
        <w:t>. Nothing herein is a warranty of suitability for any particular classification or indication; such determinations remain with Customer/its regulators. Nothing in this clause shall be construed as a warranty that the Products are suitable for any particular intended purpose or drug-device combination; such assessments remain the sole responsibility of Customer.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15.10</w:t>
      </w:r>
    </w:p>
    <w:p>
      <w:pPr>
        <w:pStyle w:val="TextBody"/>
        <w:bidi w:val="0"/>
        <w:spacing w:before="0" w:after="240"/>
        <w:jc w:val="both"/>
        <w:rPr/>
      </w:pPr>
      <w:r>
        <w:rPr>
          <w:rFonts w:ascii="Times New Roman" w:hAnsi="Times New Roman"/>
          <w:color w:val="000000"/>
          <w:sz w:val="20"/>
          <w:u w:val="single"/>
        </w:rPr>
        <w:t>Quality Agreement</w:t>
      </w:r>
      <w:r>
        <w:rPr>
          <w:rFonts w:ascii="Times New Roman" w:hAnsi="Times New Roman"/>
          <w:color w:val="000000"/>
          <w:sz w:val="20"/>
        </w:rPr>
        <w:t>. The Parties shall enter into a separate written quality agreement (a “</w:t>
      </w:r>
      <w:r>
        <w:rPr>
          <w:rFonts w:ascii="Times New Roman" w:hAnsi="Times New Roman"/>
          <w:b/>
          <w:color w:val="000000"/>
          <w:sz w:val="20"/>
        </w:rPr>
        <w:t>Quality Agreement</w:t>
      </w:r>
      <w:r>
        <w:rPr>
          <w:color w:val="000000"/>
        </w:rPr>
        <w:t>”</w:t>
      </w:r>
      <w:r>
        <w:rPr>
          <w:rFonts w:ascii="Times New Roman" w:hAnsi="Times New Roman"/>
          <w:color w:val="000000"/>
          <w:sz w:val="20"/>
        </w:rPr>
        <w:t>) defining quality responsibilities, documentation, audits, change control, complaint handling, PMS data exchange, and other regulatory matters relating to the Product. In the event of inconsistency between this Agreement and the Quality Agreement with respect to quality or regulatory matters, the Quality Agreement shall prevail.</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13</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15.11</w:t>
      </w:r>
    </w:p>
    <w:p>
      <w:pPr>
        <w:pStyle w:val="TextBody"/>
        <w:bidi w:val="0"/>
        <w:spacing w:before="0" w:after="240"/>
        <w:jc w:val="both"/>
        <w:rPr/>
      </w:pPr>
      <w:r>
        <w:rPr>
          <w:rFonts w:ascii="Times New Roman" w:hAnsi="Times New Roman"/>
          <w:color w:val="000000"/>
          <w:sz w:val="20"/>
          <w:u w:val="single"/>
        </w:rPr>
        <w:t>Quality Control Tests</w:t>
      </w:r>
      <w:r>
        <w:rPr>
          <w:rFonts w:ascii="Times New Roman" w:hAnsi="Times New Roman"/>
          <w:color w:val="000000"/>
          <w:sz w:val="20"/>
        </w:rPr>
        <w:t>. Supplier shall perform such quality control tests as indicated in the Specifications and shall make the results of such quality control tests available to Customer on or before the date of delivery of the Product to Customer in accordance with Section 7.1.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15.12</w:t>
      </w:r>
    </w:p>
    <w:p>
      <w:pPr>
        <w:pStyle w:val="TextBody"/>
        <w:bidi w:val="0"/>
        <w:spacing w:before="0" w:after="240"/>
        <w:jc w:val="both"/>
        <w:rPr/>
      </w:pPr>
      <w:r>
        <w:rPr>
          <w:rFonts w:ascii="Times New Roman" w:hAnsi="Times New Roman"/>
          <w:color w:val="000000"/>
          <w:sz w:val="20"/>
          <w:u w:val="single"/>
        </w:rPr>
        <w:t>Certificate of Analysis</w:t>
      </w:r>
      <w:r>
        <w:rPr>
          <w:rFonts w:ascii="Times New Roman" w:hAnsi="Times New Roman"/>
          <w:color w:val="000000"/>
          <w:sz w:val="20"/>
        </w:rPr>
        <w:t>. Each certificate of analysis shall, for each lot delivered, specify the quality tests conducted, the Specifications and the test results, and shall certify that such lot of Product conforms to the Specifications (or shall list any confirmed deviations from the Specifications). The certificate of analysis shall also include the lot number, the location of manufacture and expiry date for the Product, as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15.13</w:t>
      </w:r>
    </w:p>
    <w:p>
      <w:pPr>
        <w:pStyle w:val="TextBody"/>
        <w:bidi w:val="0"/>
        <w:spacing w:before="0" w:after="240"/>
        <w:jc w:val="both"/>
        <w:rPr/>
      </w:pPr>
      <w:r>
        <w:rPr>
          <w:rFonts w:ascii="Times New Roman" w:hAnsi="Times New Roman"/>
          <w:color w:val="000000"/>
          <w:sz w:val="20"/>
          <w:u w:val="single"/>
        </w:rPr>
        <w:t>Release</w:t>
      </w:r>
      <w:r>
        <w:rPr>
          <w:rFonts w:ascii="Times New Roman" w:hAnsi="Times New Roman"/>
          <w:color w:val="000000"/>
          <w:sz w:val="20"/>
        </w:rPr>
        <w:t>. Supplier shall release the Product to Customer and Customer shall review and release such Product to the relevant markets in the Territory in accordance with its (or its Affiliate’s or designee’s, as applicable) standard practice. No Product shall be released by Supplier for delivery hereunder unless Supplier’s tests show the Product meets the standards set forth in the applicable Specifications. Should any Product fail to meet the standards set forth in the applicable Specifications, Supplier shall (and Customer may, at its option), investigate the cause of such failure and promptly provide Customer with a written report summarizing the results of Supplier’s investigations. Supplier is responsible for providing a copy of all Manufacturing Records for each lot of Product manufactured hereunder in support of Supplier’s responsibility for final release decision, [*] in the Quality Agreement. Such documentation shall be provided to Customer with each shipment of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15.14</w:t>
      </w:r>
    </w:p>
    <w:p>
      <w:pPr>
        <w:pStyle w:val="TextBody"/>
        <w:bidi w:val="0"/>
        <w:spacing w:before="0" w:after="240"/>
        <w:jc w:val="both"/>
        <w:rPr/>
      </w:pPr>
      <w:r>
        <w:rPr>
          <w:rFonts w:ascii="Times New Roman" w:hAnsi="Times New Roman"/>
          <w:color w:val="000000"/>
          <w:sz w:val="20"/>
          <w:u w:val="single"/>
        </w:rPr>
        <w:t>Materials Suppliers</w:t>
      </w:r>
      <w:r>
        <w:rPr>
          <w:rFonts w:ascii="Times New Roman" w:hAnsi="Times New Roman"/>
          <w:color w:val="000000"/>
          <w:sz w:val="20"/>
        </w:rPr>
        <w:t>. Notwithstanding anything to the contrary contained herein, (a) Supplier shall only obtain materials for the Product (the “</w:t>
      </w:r>
      <w:r>
        <w:rPr>
          <w:rFonts w:ascii="Times New Roman" w:hAnsi="Times New Roman"/>
          <w:b/>
          <w:color w:val="000000"/>
          <w:sz w:val="20"/>
        </w:rPr>
        <w:t>Materials</w:t>
      </w:r>
      <w:r>
        <w:rPr>
          <w:color w:val="000000"/>
        </w:rPr>
        <w:t>”</w:t>
      </w:r>
      <w:r>
        <w:rPr>
          <w:rFonts w:ascii="Times New Roman" w:hAnsi="Times New Roman"/>
          <w:color w:val="000000"/>
          <w:sz w:val="20"/>
        </w:rPr>
        <w:t>) from such suppliers as are named in the relevant regulatory approvals (the “</w:t>
      </w:r>
      <w:r>
        <w:rPr>
          <w:rFonts w:ascii="Times New Roman" w:hAnsi="Times New Roman"/>
          <w:b/>
          <w:color w:val="000000"/>
          <w:sz w:val="20"/>
        </w:rPr>
        <w:t>Vendors</w:t>
      </w:r>
      <w:r>
        <w:rPr>
          <w:color w:val="000000"/>
        </w:rPr>
        <w:t>”</w:t>
      </w:r>
      <w:r>
        <w:rPr>
          <w:rFonts w:ascii="Times New Roman" w:hAnsi="Times New Roman"/>
          <w:color w:val="000000"/>
          <w:sz w:val="20"/>
        </w:rPr>
        <w:t>) for the manufacturing of the Product hereunder, provided that Supplier may exercise its discretion in selecting and overseeing its Vendors, [*], (b) Supplier will perform [*] of its Vendors to ensure compliance with this Agreement (and Customer may accompany Supplier [*] of Vendors supplying Materials for the Product) and (c) Supplier shall prepare all certifications as to any Materials required by applicable laws or regulations, and shall provide copies thereof to Customer.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RIGHT OF REFERENCE - REGISTRATION OUTSIDE THE TERRITORY OF REGISTRATION -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16.1</w:t>
      </w:r>
    </w:p>
    <w:p>
      <w:pPr>
        <w:pStyle w:val="TextBody"/>
        <w:bidi w:val="0"/>
        <w:spacing w:before="0" w:after="240"/>
        <w:jc w:val="both"/>
        <w:rPr/>
      </w:pPr>
      <w:r>
        <w:rPr>
          <w:rFonts w:ascii="Times New Roman" w:hAnsi="Times New Roman"/>
          <w:color w:val="000000"/>
          <w:sz w:val="20"/>
          <w:u w:val="single"/>
        </w:rPr>
        <w:t>Right of Reference</w:t>
      </w:r>
      <w:r>
        <w:rPr>
          <w:rFonts w:ascii="Times New Roman" w:hAnsi="Times New Roman"/>
          <w:color w:val="000000"/>
          <w:sz w:val="20"/>
        </w:rPr>
        <w:t>. Subject to the terms and conditions of this Agreement, and solely for the purpose of enabling Customer to seek and maintain regulatory approvals for Customer’s Finished Product that incorporates the Product as supplied by Supplier, Supplier shall provide Customer with a limited right of reference to Supplier’s regulatory filings strictly to the extent required by the applicable Regulatory Authority.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16.1.1</w:t>
      </w:r>
    </w:p>
    <w:p>
      <w:pPr>
        <w:pStyle w:val="TextBody"/>
        <w:bidi w:val="0"/>
        <w:spacing w:before="0" w:after="240"/>
        <w:jc w:val="both"/>
        <w:rPr/>
      </w:pPr>
      <w:r>
        <w:rPr>
          <w:rFonts w:ascii="Times New Roman" w:hAnsi="Times New Roman"/>
          <w:color w:val="000000"/>
          <w:sz w:val="20"/>
          <w:u w:val="single"/>
        </w:rPr>
        <w:t>Scope – FDA (United States)</w:t>
      </w:r>
      <w:r>
        <w:rPr>
          <w:rFonts w:ascii="Times New Roman" w:hAnsi="Times New Roman"/>
          <w:color w:val="000000"/>
          <w:sz w:val="20"/>
        </w:rPr>
        <w:t>. With respect to FDA submissions, Supplier shall, upon Customer’s written request, issue Letters of Authorization (LoAs) permitting the FDA to reference the specific and limited portions of Supplier’s Type III Drug Master File (DMF) that are required by FDA to support Customer’s IND, NDA, ANDA or other applicable submission for Customer’s Finished Product. Supplier shall have sole discretion over the content of the DMF and the scope of the LoA, provided that such scope is sufficient to meet FDA requirements for the device constituent of a drug–device combination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16.1.2</w:t>
      </w:r>
    </w:p>
    <w:p>
      <w:pPr>
        <w:pStyle w:val="TextBody"/>
        <w:bidi w:val="0"/>
        <w:spacing w:before="0" w:after="240"/>
        <w:jc w:val="both"/>
        <w:rPr/>
      </w:pPr>
      <w:r>
        <w:rPr>
          <w:rFonts w:ascii="Times New Roman" w:hAnsi="Times New Roman"/>
          <w:color w:val="000000"/>
          <w:sz w:val="20"/>
          <w:u w:val="single"/>
        </w:rPr>
        <w:t>Scope – EU MDR (European Union)</w:t>
      </w:r>
      <w:r>
        <w:rPr>
          <w:rFonts w:ascii="Times New Roman" w:hAnsi="Times New Roman"/>
          <w:color w:val="000000"/>
          <w:sz w:val="20"/>
        </w:rPr>
        <w:t>. With respect to Regulation (EU) 2017/745 (MDR), Supplier shall make available to Customer, upon reasonable written request, appropriate technical summaries, declarations, and conformity statements relating to the Product that are necessary to support Customer’s MDR obligations for its finished combination product (including Annex I GSPR evidence), without disclosure of Supplier’s full technical documentation or proprietary manufacturing know</w:t>
        <w:noBreakHyphen/>
        <w:t>how. Supplier remains the legal manufacturer of the Product and retains ownership and control of its MDR technical documentation, Notified Body correspondence, and post</w:t>
        <w:noBreakHyphen/>
        <w:t>market documentation.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16.1.3</w:t>
      </w:r>
    </w:p>
    <w:p>
      <w:pPr>
        <w:pStyle w:val="TextBody"/>
        <w:bidi w:val="0"/>
        <w:spacing w:before="0" w:after="240"/>
        <w:jc w:val="both"/>
        <w:rPr/>
      </w:pPr>
      <w:r>
        <w:rPr>
          <w:rFonts w:ascii="Times New Roman" w:hAnsi="Times New Roman"/>
          <w:color w:val="000000"/>
          <w:sz w:val="20"/>
          <w:u w:val="single"/>
        </w:rPr>
        <w:t>Excluded Information</w:t>
      </w:r>
      <w:r>
        <w:rPr>
          <w:rFonts w:ascii="Times New Roman" w:hAnsi="Times New Roman"/>
          <w:color w:val="000000"/>
          <w:sz w:val="20"/>
        </w:rPr>
        <w:t xml:space="preserve">. The right of reference granted under this Section does not include any right to access, copy, reproduce, or disclose: (a) Supplier’s full DMF or MDR technical file; (b) detailed </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14</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manufacturing processes, process parameters, methods, validations or acceptance criteria; (c) proprietary test methods or internal reports; (d) quality system documentation unrelated to the Product; or (e) Notified Body or Regulatory Authority correspondence, audit reports or observations; in each case except where explicitly required by a Regulatory Authority and then solely to the minimum extent required.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16.1.4</w:t>
      </w:r>
    </w:p>
    <w:p>
      <w:pPr>
        <w:pStyle w:val="TextBody"/>
        <w:bidi w:val="0"/>
        <w:spacing w:before="0" w:after="240"/>
        <w:jc w:val="both"/>
        <w:rPr/>
      </w:pPr>
      <w:r>
        <w:rPr>
          <w:rFonts w:ascii="Times New Roman" w:hAnsi="Times New Roman"/>
          <w:color w:val="000000"/>
          <w:sz w:val="20"/>
          <w:u w:val="single"/>
        </w:rPr>
        <w:t>Method of Access; No General Copying Rights</w:t>
      </w:r>
      <w:r>
        <w:rPr>
          <w:rFonts w:ascii="Times New Roman" w:hAnsi="Times New Roman"/>
          <w:color w:val="000000"/>
          <w:sz w:val="20"/>
        </w:rPr>
        <w:t>. Any right of reference shall be exercised solely through formal regulatory mechanisms, including LoAs or equivalent regulatory procedures. Customer shall not copy, reproduce, distribute, or otherwise disclose Supplier’s regulatory documentation except where expressly required by a Regulatory Authority in connection with a specific submission. No rights are granted to Customer’s sublicensees or third parties without Supplier’s prior written consent.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16.1.5</w:t>
      </w:r>
    </w:p>
    <w:p>
      <w:pPr>
        <w:pStyle w:val="TextBody"/>
        <w:bidi w:val="0"/>
        <w:spacing w:before="0" w:after="240"/>
        <w:jc w:val="both"/>
        <w:rPr/>
      </w:pPr>
      <w:r>
        <w:rPr>
          <w:rFonts w:ascii="Times New Roman" w:hAnsi="Times New Roman"/>
          <w:color w:val="000000"/>
          <w:sz w:val="20"/>
          <w:u w:val="single"/>
        </w:rPr>
        <w:t>No Expanded Regulatory or Support Obligations</w:t>
      </w:r>
      <w:r>
        <w:rPr>
          <w:rFonts w:ascii="Times New Roman" w:hAnsi="Times New Roman"/>
          <w:color w:val="000000"/>
          <w:sz w:val="20"/>
        </w:rPr>
        <w:t>. Nothing in this Section shall be construed to: (a) transfer or expand Supplier’s regulatory responsibilities beyond those applicable to Supplier as legal manufacturer of the Product; (b) obligate Supplier to maintain, amend, or adapt its regulatory filings for Customer’s Finished Product or any indication, formulation, dosage, or use thereof; or (c) create any development, co</w:t>
        <w:noBreakHyphen/>
        <w:t>development, or regulatory partnership relationship. Customer remains solely responsible for the regulatory approval, maintenance, variation, and lifecycle management of Customer’s Finished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16.2</w:t>
      </w:r>
    </w:p>
    <w:p>
      <w:pPr>
        <w:pStyle w:val="TextBody"/>
        <w:bidi w:val="0"/>
        <w:spacing w:before="0" w:after="240"/>
        <w:jc w:val="both"/>
        <w:rPr/>
      </w:pPr>
      <w:r>
        <w:rPr>
          <w:rFonts w:ascii="Times New Roman" w:hAnsi="Times New Roman"/>
          <w:color w:val="000000"/>
          <w:sz w:val="20"/>
          <w:u w:val="single"/>
        </w:rPr>
        <w:t>Registration request</w:t>
      </w:r>
      <w:r>
        <w:rPr>
          <w:rFonts w:ascii="Times New Roman" w:hAnsi="Times New Roman"/>
          <w:color w:val="000000"/>
          <w:sz w:val="20"/>
        </w:rPr>
        <w:t>. At Customer’s written request, Supplier will reasonably support registration of the Product in countries outside the Territory of Registration, provided that: (i) Supplier is (and remains) listed as the legal manufacturer/registration holder where required by law; and (ii) timelines are mutually agreed.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16.3</w:t>
      </w:r>
    </w:p>
    <w:p>
      <w:pPr>
        <w:pStyle w:val="TextBody"/>
        <w:bidi w:val="0"/>
        <w:spacing w:before="0" w:after="240"/>
        <w:jc w:val="both"/>
        <w:rPr/>
      </w:pPr>
      <w:r>
        <w:rPr>
          <w:rFonts w:ascii="Times New Roman" w:hAnsi="Times New Roman"/>
          <w:color w:val="000000"/>
          <w:sz w:val="20"/>
          <w:u w:val="single"/>
        </w:rPr>
        <w:t>Costs; Cost Sharing; Preconditions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16.3.1</w:t>
      </w:r>
    </w:p>
    <w:p>
      <w:pPr>
        <w:pStyle w:val="TextBody"/>
        <w:bidi w:val="0"/>
        <w:spacing w:before="0" w:after="240"/>
        <w:jc w:val="both"/>
        <w:rPr/>
      </w:pPr>
      <w:r>
        <w:rPr>
          <w:rFonts w:ascii="Times New Roman" w:hAnsi="Times New Roman"/>
          <w:color w:val="000000"/>
          <w:sz w:val="20"/>
          <w:u w:val="single"/>
        </w:rPr>
        <w:t>Participation in Relevant Costs (Cost Sharing)</w:t>
      </w:r>
      <w:r>
        <w:rPr>
          <w:rFonts w:ascii="Times New Roman" w:hAnsi="Times New Roman"/>
          <w:color w:val="000000"/>
          <w:sz w:val="20"/>
        </w:rPr>
        <w:t>. If Customer requests Supplier to support Registration of the Product outside the Territory of Registration, Supplier may condition any such support on Customer’s written confirmation of its participation in the relevant costs (the “</w:t>
      </w:r>
      <w:r>
        <w:rPr>
          <w:rFonts w:ascii="Times New Roman" w:hAnsi="Times New Roman"/>
          <w:b/>
          <w:color w:val="000000"/>
          <w:sz w:val="20"/>
        </w:rPr>
        <w:t>Cost Sharing</w:t>
      </w:r>
      <w:r>
        <w:rPr>
          <w:color w:val="000000"/>
        </w:rPr>
        <w:t>”</w:t>
      </w:r>
      <w:r>
        <w:rPr>
          <w:rFonts w:ascii="Times New Roman" w:hAnsi="Times New Roman"/>
          <w:color w:val="000000"/>
          <w:sz w:val="20"/>
        </w:rPr>
        <w:t>). The Parties shall discuss in good faith and agree to the scope and level of Cost Sharing (e.g., percentage split and/or monetary cap) in a Registration Cost Sharing Addendum.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16.3.2</w:t>
      </w:r>
    </w:p>
    <w:p>
      <w:pPr>
        <w:pStyle w:val="TextBody"/>
        <w:bidi w:val="0"/>
        <w:spacing w:before="0" w:after="240"/>
        <w:jc w:val="both"/>
        <w:rPr/>
      </w:pPr>
      <w:r>
        <w:rPr>
          <w:rFonts w:ascii="Times New Roman" w:hAnsi="Times New Roman"/>
          <w:color w:val="000000"/>
          <w:sz w:val="20"/>
          <w:u w:val="single"/>
        </w:rPr>
        <w:t>Scope of Recoverable Costs</w:t>
      </w:r>
      <w:r>
        <w:rPr>
          <w:rFonts w:ascii="Times New Roman" w:hAnsi="Times New Roman"/>
          <w:color w:val="000000"/>
          <w:sz w:val="20"/>
        </w:rPr>
        <w:t>. “</w:t>
      </w:r>
      <w:r>
        <w:rPr>
          <w:rFonts w:ascii="Times New Roman" w:hAnsi="Times New Roman"/>
          <w:b/>
          <w:color w:val="000000"/>
          <w:sz w:val="20"/>
        </w:rPr>
        <w:t>Relevant costs</w:t>
      </w:r>
      <w:r>
        <w:rPr>
          <w:color w:val="000000"/>
        </w:rPr>
        <w:t xml:space="preserve">” </w:t>
      </w:r>
      <w:r>
        <w:rPr>
          <w:rFonts w:ascii="Times New Roman" w:hAnsi="Times New Roman"/>
          <w:color w:val="000000"/>
          <w:sz w:val="20"/>
        </w:rPr>
        <w:t>include, as applicable: regulatory agent/authorized representative fees; governmental fees; type-testing; samples; translations; notarization/apostilles/legalization; courier; site inspection charges; document preparation/administration; and any non-cancellable third party charges, together with Supplier’s reasonably quoted service fees for regulatory support.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16.3.3</w:t>
      </w:r>
    </w:p>
    <w:p>
      <w:pPr>
        <w:pStyle w:val="TextBody"/>
        <w:bidi w:val="0"/>
        <w:spacing w:before="0" w:after="240"/>
        <w:jc w:val="both"/>
        <w:rPr/>
      </w:pPr>
      <w:r>
        <w:rPr>
          <w:rFonts w:ascii="Times New Roman" w:hAnsi="Times New Roman"/>
          <w:color w:val="000000"/>
          <w:sz w:val="20"/>
          <w:u w:val="single"/>
        </w:rPr>
        <w:t>Preconditions to Start</w:t>
      </w:r>
      <w:r>
        <w:rPr>
          <w:rFonts w:ascii="Times New Roman" w:hAnsi="Times New Roman"/>
          <w:color w:val="000000"/>
          <w:sz w:val="20"/>
        </w:rPr>
        <w:t>. Supplier shall have no obligation to initiate Registration activities until (i) the Registration Cost Sharing Addendum is executed, (ii) Customer issues the corresponding purchase order(s), and (iii) Supplier receives any agreed upfront deposit or advance payment for third party/government fees.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16.3.4</w:t>
      </w:r>
    </w:p>
    <w:p>
      <w:pPr>
        <w:pStyle w:val="TextBody"/>
        <w:bidi w:val="0"/>
        <w:spacing w:before="0" w:after="240"/>
        <w:jc w:val="both"/>
        <w:rPr/>
      </w:pPr>
      <w:r>
        <w:rPr>
          <w:rFonts w:ascii="Times New Roman" w:hAnsi="Times New Roman"/>
          <w:color w:val="000000"/>
          <w:sz w:val="20"/>
          <w:u w:val="single"/>
        </w:rPr>
        <w:t>No Exclusivity Implied</w:t>
      </w:r>
      <w:r>
        <w:rPr>
          <w:rFonts w:ascii="Times New Roman" w:hAnsi="Times New Roman"/>
          <w:color w:val="000000"/>
          <w:sz w:val="20"/>
        </w:rPr>
        <w:t>. Cost Sharing and/or Customer’s participation to relevant costs shall not grant Customer any exclusivity, territorial restriction, or supply commitment in the relevant country unless expressly agreed in a separate, duly executed exclusivity addendum.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16.3.5</w:t>
      </w:r>
    </w:p>
    <w:p>
      <w:pPr>
        <w:pStyle w:val="TextBody"/>
        <w:bidi w:val="0"/>
        <w:spacing w:before="0" w:after="240"/>
        <w:jc w:val="both"/>
        <w:rPr/>
      </w:pPr>
      <w:r>
        <w:rPr>
          <w:rFonts w:ascii="Times New Roman" w:hAnsi="Times New Roman"/>
          <w:color w:val="000000"/>
          <w:sz w:val="20"/>
          <w:u w:val="single"/>
        </w:rPr>
        <w:t>Changes and Overruns</w:t>
      </w:r>
      <w:r>
        <w:rPr>
          <w:rFonts w:ascii="Times New Roman" w:hAnsi="Times New Roman"/>
          <w:color w:val="000000"/>
          <w:sz w:val="20"/>
        </w:rPr>
        <w:t>. If authorities impose additional requirements or if third party/governmental fees change, Supplier will notify Customer. The Parties will agree in writing on any adjustment to the Cost Sharing before incurring material additional spend. Absent agreement within a reasonable time, Supplier may pause or cease the Registration support; Customer shall reimburse all non-cancellable costs committed up to the pause/cessation.</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15</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16.3.6</w:t>
      </w:r>
    </w:p>
    <w:p>
      <w:pPr>
        <w:pStyle w:val="TextBody"/>
        <w:bidi w:val="0"/>
        <w:spacing w:before="0" w:after="240"/>
        <w:jc w:val="both"/>
        <w:rPr/>
      </w:pPr>
      <w:r>
        <w:rPr>
          <w:rFonts w:ascii="Times New Roman" w:hAnsi="Times New Roman"/>
          <w:color w:val="000000"/>
          <w:sz w:val="20"/>
          <w:u w:val="single"/>
        </w:rPr>
        <w:t>Withdrawal by Customer</w:t>
      </w:r>
      <w:r>
        <w:rPr>
          <w:rFonts w:ascii="Times New Roman" w:hAnsi="Times New Roman"/>
          <w:color w:val="000000"/>
          <w:sz w:val="20"/>
        </w:rPr>
        <w:t>. If Customer withdraws its request after activities have commenced, Customer shall reimburse all non-cancellable third party/governmental fees and Supplier’s earned service fees up to the effective withdrawal date, subject to any agreed cap in the Registration Cost Sharing Addendum.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16.4</w:t>
      </w:r>
    </w:p>
    <w:p>
      <w:pPr>
        <w:pStyle w:val="TextBody"/>
        <w:bidi w:val="0"/>
        <w:spacing w:before="0" w:after="240"/>
        <w:jc w:val="both"/>
        <w:rPr/>
      </w:pPr>
      <w:r>
        <w:rPr>
          <w:rFonts w:ascii="Times New Roman" w:hAnsi="Times New Roman"/>
          <w:color w:val="000000"/>
          <w:sz w:val="20"/>
          <w:u w:val="single"/>
        </w:rPr>
        <w:t>Cooperation</w:t>
      </w:r>
      <w:r>
        <w:rPr>
          <w:rFonts w:ascii="Times New Roman" w:hAnsi="Times New Roman"/>
          <w:color w:val="000000"/>
          <w:sz w:val="20"/>
        </w:rPr>
        <w:t>. Customer will timely provide any information reasonably required by local authorities for the Product’s registration when such information pertains to Customer’s Finished Product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16.5</w:t>
      </w:r>
    </w:p>
    <w:p>
      <w:pPr>
        <w:pStyle w:val="TextBody"/>
        <w:bidi w:val="0"/>
        <w:spacing w:before="0" w:after="240"/>
        <w:jc w:val="both"/>
        <w:rPr/>
      </w:pPr>
      <w:r>
        <w:rPr>
          <w:rFonts w:ascii="Times New Roman" w:hAnsi="Times New Roman"/>
          <w:color w:val="000000"/>
          <w:sz w:val="20"/>
          <w:u w:val="single"/>
        </w:rPr>
        <w:t>Ownership and Use</w:t>
      </w:r>
      <w:r>
        <w:rPr>
          <w:rFonts w:ascii="Times New Roman" w:hAnsi="Times New Roman"/>
          <w:color w:val="000000"/>
          <w:sz w:val="20"/>
        </w:rPr>
        <w:t>. Any registration for the Product will be owned/controlled by Supplier (or its appointed agent), and Supplier may rely on such registration for other customers unless exclusivity is expressly agreed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REGULATORY CHANGE OF LAW / NOTIFIED BODY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change in applicable laws, regulations, NB requirements, regulatory guidance, or authority expectations (including EU MDR, FDA requirements, CDSCO rules, NMPA rules) results in increased cost, burden, process changes, documentation changes, testing requirements, or facility adjustments for Supplier, the Parties shall meet in good faith to agree on commercially reasonable adjustments to timelines, pricing, responsibilities, and support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COMPLIANCE WITH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18.1</w:t>
      </w:r>
    </w:p>
    <w:p>
      <w:pPr>
        <w:pStyle w:val="TextBody"/>
        <w:bidi w:val="0"/>
        <w:spacing w:before="0" w:after="240"/>
        <w:jc w:val="both"/>
        <w:rPr/>
      </w:pPr>
      <w:r>
        <w:rPr>
          <w:rFonts w:ascii="Times New Roman" w:hAnsi="Times New Roman"/>
          <w:color w:val="000000"/>
          <w:sz w:val="20"/>
          <w:u w:val="single"/>
        </w:rPr>
        <w:t>General Compliance</w:t>
      </w:r>
      <w:r>
        <w:rPr>
          <w:rFonts w:ascii="Times New Roman" w:hAnsi="Times New Roman"/>
          <w:color w:val="000000"/>
          <w:sz w:val="20"/>
        </w:rPr>
        <w:t>. Customer represents and warrants that it shall at all times comply with all applicable laws, regulations, codes, rules, ordinances, judgments, orders and decrees (all together, the “</w:t>
      </w:r>
      <w:r>
        <w:rPr>
          <w:rFonts w:ascii="Times New Roman" w:hAnsi="Times New Roman"/>
          <w:b/>
          <w:color w:val="000000"/>
          <w:sz w:val="20"/>
        </w:rPr>
        <w:t>Laws</w:t>
      </w:r>
      <w:r>
        <w:rPr>
          <w:color w:val="000000"/>
        </w:rPr>
        <w:t>”</w:t>
      </w:r>
      <w:r>
        <w:rPr>
          <w:rFonts w:ascii="Times New Roman" w:hAnsi="Times New Roman"/>
          <w:color w:val="000000"/>
          <w:sz w:val="20"/>
        </w:rPr>
        <w:t>). In particular, Customer agrees to comply fully 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18.1.1</w:t>
      </w:r>
    </w:p>
    <w:p>
      <w:pPr>
        <w:pStyle w:val="TextBody"/>
        <w:bidi w:val="0"/>
        <w:spacing w:before="0" w:after="240"/>
        <w:jc w:val="both"/>
        <w:rPr/>
      </w:pPr>
      <w:r>
        <w:rPr>
          <w:rFonts w:ascii="Times New Roman" w:hAnsi="Times New Roman"/>
          <w:color w:val="000000"/>
          <w:sz w:val="20"/>
          <w:u w:val="single"/>
        </w:rPr>
        <w:t>Compliance with Anti-Bribery and Anti-Corruption Laws</w:t>
      </w:r>
      <w:r>
        <w:rPr>
          <w:rFonts w:ascii="Times New Roman" w:hAnsi="Times New Roman"/>
          <w:color w:val="000000"/>
          <w:sz w:val="20"/>
        </w:rPr>
        <w:t>. All applicable Laws relating to anti-bribery and anti-corruption and, more specifically, abide by the standards of conduct set forth in the United States Foreign Corrupt Practices Act of 1977, the United Kingdom Bribery Act of 2010 and any other applicable anti-corruption and/or anti-money laundering Laws (all together the “</w:t>
      </w:r>
      <w:r>
        <w:rPr>
          <w:rFonts w:ascii="Times New Roman" w:hAnsi="Times New Roman"/>
          <w:b/>
          <w:color w:val="000000"/>
          <w:sz w:val="20"/>
        </w:rPr>
        <w:t>Anti-Corruption Laws</w:t>
      </w:r>
      <w:r>
        <w:rPr>
          <w:color w:val="000000"/>
        </w:rPr>
        <w:t>”</w:t>
      </w:r>
      <w:r>
        <w:rPr>
          <w:rFonts w:ascii="Times New Roman" w:hAnsi="Times New Roman"/>
          <w:color w:val="000000"/>
          <w:sz w:val="20"/>
        </w:rPr>
        <w: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18.1.2</w:t>
      </w:r>
    </w:p>
    <w:p>
      <w:pPr>
        <w:pStyle w:val="TextBody"/>
        <w:bidi w:val="0"/>
        <w:spacing w:before="0" w:after="240"/>
        <w:jc w:val="both"/>
        <w:rPr/>
      </w:pPr>
      <w:r>
        <w:rPr>
          <w:rFonts w:ascii="Times New Roman" w:hAnsi="Times New Roman"/>
          <w:color w:val="000000"/>
          <w:sz w:val="20"/>
          <w:u w:val="single"/>
        </w:rPr>
        <w:t>Compliance with Export Control and Trade Restrictions</w:t>
      </w:r>
      <w:r>
        <w:rPr>
          <w:rFonts w:ascii="Times New Roman" w:hAnsi="Times New Roman"/>
          <w:color w:val="000000"/>
          <w:sz w:val="20"/>
        </w:rPr>
        <w:t>. All relevant export Laws, trade restriction Laws of the United States, European Union and any other applicable national Laws (“</w:t>
      </w:r>
      <w:r>
        <w:rPr>
          <w:rFonts w:ascii="Times New Roman" w:hAnsi="Times New Roman"/>
          <w:b/>
          <w:color w:val="000000"/>
          <w:sz w:val="20"/>
        </w:rPr>
        <w:t>Export Laws</w:t>
      </w:r>
      <w:r>
        <w:rPr>
          <w:color w:val="000000"/>
        </w:rPr>
        <w:t>”</w:t>
      </w:r>
      <w:r>
        <w:rPr>
          <w:rFonts w:ascii="Times New Roman" w:hAnsi="Times New Roman"/>
          <w:color w:val="000000"/>
          <w:sz w:val="20"/>
        </w:rPr>
        <w:t>) in force at the relevant time. Customer shall not, in respect of the Product: (i) export, re-export, trans-ship, or otherwise transfer, directly or indirectly, in violation of Export Laws; or (ii) use the same for any purposes prohibited by the Export Laws (including, without limitation, nuclear, chemical, or biological weapons proliferation).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18.2</w:t>
      </w:r>
    </w:p>
    <w:p>
      <w:pPr>
        <w:pStyle w:val="TextBody"/>
        <w:bidi w:val="0"/>
        <w:spacing w:before="0" w:after="240"/>
        <w:jc w:val="both"/>
        <w:rPr/>
      </w:pPr>
      <w:r>
        <w:rPr>
          <w:rFonts w:ascii="Times New Roman" w:hAnsi="Times New Roman"/>
          <w:color w:val="000000"/>
          <w:sz w:val="20"/>
          <w:u w:val="single"/>
        </w:rPr>
        <w:t>Customer’s compliance with Applicable Regulatory Requirements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18.2.1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Acknowledgement of Roles. Supplier is the legal manufacturer of the Product under the EU Medical Devices Regulation (MDR) and remains responsible for the Product’s MDR compliance as set out in Section 15.1. Customer is solely responsible for the regulatory compliance of Customer’s Finished Product(s) that use the Product (including any drug–device combination regulated as a medicinal product), including approvals/authorisations, labeling, distribution and post-market activities applicable to such Customer’s Finished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18.2.2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Drug–Device Combinations. Where Customer’s product is a medicinal product that incorporates the Product as an integral delivery device, Customer shall ensure that its regulatory dossier includes evidence that the device constituent meets the MDR Annex I General Safety and Performance Requirements (e.g., a Notified Body opinion or other acceptable evidence) and shall manage lifecycle changes accordingly.</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16</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18.2.3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Device-Led Combinations with Ancillary Medicinal Substance. Where applicable law classifies a device incorporating a medicinal substance with ancillary action as a medical device, Customer shall support the notified body/authority consultations required for such substance and implement any resulting regulatory conditions in relation to Customer’s Finished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Vigilance and Field Actions Downstream. Customer shall promptly implement and cascade any Field Safety Notices (FSNs) relating to the Product within its distribution chain, cooperate in Field Safety Corrective Actions (FSCAs), and provide Supplier with downstream data reasonably needed for investigation and reporting, in each case without limiting Supplier’s MDR obligations as device manufacturer.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Expansion of Supplier Warranties. Nothing in this Section expands Supplier’s warranties or shifts to Supplier any regulatory responsibility for Customer’s Finished Product(s) beyond Supplier’s MDR obligations as the legal manufacturer of the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Supplier Cooperation. Supplier shall provide reasonable assistance and shall cooperate in good faith upon Customer’s request with respect to fulfilling any of its compliance obligations with applicable regulatory requirements under this Section 18.2. Customer shall be responsible for Supplier’s reasonable costs and pre-approved (in writing) out-of-pocket expenses incurred in providing such assistance.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19.</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INTELLECTUAL PROPERTY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19.1</w:t>
      </w:r>
    </w:p>
    <w:p>
      <w:pPr>
        <w:pStyle w:val="TextBody"/>
        <w:bidi w:val="0"/>
        <w:spacing w:before="0" w:after="240"/>
        <w:jc w:val="both"/>
        <w:rPr/>
      </w:pPr>
      <w:r>
        <w:rPr>
          <w:rFonts w:ascii="Times New Roman" w:hAnsi="Times New Roman"/>
          <w:color w:val="000000"/>
          <w:sz w:val="20"/>
          <w:u w:val="single"/>
        </w:rPr>
        <w:t>Supplier’s Ownership</w:t>
      </w:r>
      <w:r>
        <w:rPr>
          <w:rFonts w:ascii="Times New Roman" w:hAnsi="Times New Roman"/>
          <w:color w:val="000000"/>
          <w:sz w:val="20"/>
        </w:rPr>
        <w:t>. Customer acknowledges and agrees that Supplier shall be the sole and exclusive owner of all Intellectual Property Rights related to any and all Products and/or parts thereof as defined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19.2</w:t>
      </w:r>
    </w:p>
    <w:p>
      <w:pPr>
        <w:pStyle w:val="TextBody"/>
        <w:bidi w:val="0"/>
        <w:spacing w:before="0" w:after="240"/>
        <w:jc w:val="both"/>
        <w:rPr/>
      </w:pPr>
      <w:r>
        <w:rPr>
          <w:rFonts w:ascii="Times New Roman" w:hAnsi="Times New Roman"/>
          <w:color w:val="000000"/>
          <w:sz w:val="20"/>
          <w:u w:val="single"/>
        </w:rPr>
        <w:t>No Implied Rights</w:t>
      </w:r>
      <w:r>
        <w:rPr>
          <w:rFonts w:ascii="Times New Roman" w:hAnsi="Times New Roman"/>
          <w:color w:val="000000"/>
          <w:sz w:val="20"/>
        </w:rPr>
        <w:t>. Nothing contained in this Agreement shall be deemed to grant either directly, by implication, estoppel, or otherwise any license under any patents, patent applications, or other proprietary interest to any other inventions, discovery or improvement of either Party, except to the extent expressly provided for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PRODUCT PHASE-OUT AND DISCONTINUATION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20.1</w:t>
      </w:r>
    </w:p>
    <w:p>
      <w:pPr>
        <w:pStyle w:val="TextBody"/>
        <w:bidi w:val="0"/>
        <w:spacing w:before="0" w:after="240"/>
        <w:jc w:val="both"/>
        <w:rPr/>
      </w:pPr>
      <w:r>
        <w:rPr>
          <w:rFonts w:ascii="Times New Roman" w:hAnsi="Times New Roman"/>
          <w:color w:val="000000"/>
          <w:sz w:val="20"/>
          <w:u w:val="single"/>
        </w:rPr>
        <w:t>No Discontinuation of Product</w:t>
      </w:r>
      <w:r>
        <w:rPr>
          <w:rFonts w:ascii="Times New Roman" w:hAnsi="Times New Roman"/>
          <w:color w:val="000000"/>
          <w:sz w:val="20"/>
        </w:rPr>
        <w:t>. Supplier acknowledges that the Product is a material and integral component of Customer’s Finished Product. Accordingly, subject to Sections 20.2 through 20.4, Supplier shall not discontinue, phase out, or materially reduce the manufacture or supply of the Product during the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20.2</w:t>
      </w:r>
    </w:p>
    <w:p>
      <w:pPr>
        <w:pStyle w:val="TextBody"/>
        <w:bidi w:val="0"/>
        <w:spacing w:before="0" w:after="240"/>
        <w:jc w:val="both"/>
        <w:rPr/>
      </w:pPr>
      <w:r>
        <w:rPr>
          <w:rFonts w:ascii="Times New Roman" w:hAnsi="Times New Roman"/>
          <w:color w:val="000000"/>
          <w:sz w:val="20"/>
          <w:u w:val="single"/>
        </w:rPr>
        <w:t>Exceptions</w:t>
      </w:r>
      <w:r>
        <w:rPr>
          <w:rFonts w:ascii="Times New Roman" w:hAnsi="Times New Roman"/>
          <w:color w:val="000000"/>
          <w:sz w:val="20"/>
        </w:rPr>
        <w:t>. Supplier may discontinue manufacture or supply of the Product only to the extent strictly required 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binding order or requirement of a Regulatory Authority or Notified Body,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documented and substantiated safety concerns that render continued manufacture or supply unlawful or impracticable despite commercially reasonable mitigation efforts.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20.3</w:t>
      </w:r>
    </w:p>
    <w:p>
      <w:pPr>
        <w:pStyle w:val="TextBody"/>
        <w:bidi w:val="0"/>
        <w:spacing w:before="0" w:after="240"/>
        <w:jc w:val="both"/>
        <w:rPr/>
      </w:pPr>
      <w:r>
        <w:rPr>
          <w:rFonts w:ascii="Times New Roman" w:hAnsi="Times New Roman"/>
          <w:color w:val="000000"/>
          <w:sz w:val="20"/>
          <w:u w:val="single"/>
        </w:rPr>
        <w:t>Notice</w:t>
      </w:r>
      <w:r>
        <w:rPr>
          <w:rFonts w:ascii="Times New Roman" w:hAnsi="Times New Roman"/>
          <w:color w:val="000000"/>
          <w:sz w:val="20"/>
        </w:rPr>
        <w:t>. In the event a discontinuation is permitted under Section 20.2, Supplier shall give Customer as much notice as reasonably possible but, to the extent practicable, in no event less than [*] prior written notice (“</w:t>
      </w:r>
      <w:r>
        <w:rPr>
          <w:rFonts w:ascii="Times New Roman" w:hAnsi="Times New Roman"/>
          <w:b/>
          <w:color w:val="000000"/>
          <w:sz w:val="20"/>
        </w:rPr>
        <w:t>Phase-Out Notice</w:t>
      </w:r>
      <w:r>
        <w:rPr>
          <w:color w:val="000000"/>
        </w:rPr>
        <w:t>”</w:t>
      </w:r>
      <w:r>
        <w:rPr>
          <w:rFonts w:ascii="Times New Roman" w:hAnsi="Times New Roman"/>
          <w:color w:val="000000"/>
          <w:sz w:val="20"/>
        </w:rPr>
        <w:t>). Notwithstanding the foregoing, Supplier may shorten the notice period where required by applicable Regulatory Authority or Notified Body decisions.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20.4</w:t>
      </w:r>
    </w:p>
    <w:p>
      <w:pPr>
        <w:pStyle w:val="TextBody"/>
        <w:bidi w:val="0"/>
        <w:spacing w:before="0" w:after="240"/>
        <w:jc w:val="both"/>
        <w:rPr/>
      </w:pPr>
      <w:r>
        <w:rPr>
          <w:rFonts w:ascii="Times New Roman" w:hAnsi="Times New Roman"/>
          <w:color w:val="000000"/>
          <w:sz w:val="20"/>
          <w:u w:val="single"/>
        </w:rPr>
        <w:t>Discontinuation for Convenience</w:t>
      </w:r>
      <w:r>
        <w:rPr>
          <w:rFonts w:ascii="Times New Roman" w:hAnsi="Times New Roman"/>
          <w:color w:val="000000"/>
          <w:sz w:val="20"/>
        </w:rPr>
        <w:t>. Supplier may, at its discretion and upon no less than [*] prior written notice, discontinue the manufacture of Product.</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17</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20.5</w:t>
      </w:r>
    </w:p>
    <w:p>
      <w:pPr>
        <w:pStyle w:val="TextBody"/>
        <w:bidi w:val="0"/>
        <w:spacing w:before="0" w:after="240"/>
        <w:jc w:val="both"/>
        <w:rPr/>
      </w:pPr>
      <w:r>
        <w:rPr>
          <w:rFonts w:ascii="Times New Roman" w:hAnsi="Times New Roman"/>
          <w:color w:val="000000"/>
          <w:sz w:val="20"/>
          <w:u w:val="single"/>
        </w:rPr>
        <w:t>Supplier’s Obligations During Phase-Out Period</w:t>
      </w:r>
      <w:r>
        <w:rPr>
          <w:rFonts w:ascii="Times New Roman" w:hAnsi="Times New Roman"/>
          <w:color w:val="000000"/>
          <w:sz w:val="20"/>
        </w:rPr>
        <w:t>. During the phase-out period, Supplier shall: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continue supplying the Product under the terms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offer Customer a last-time-buy opportunity, enabling Customer to place P.O.s in excess of the quantity forecasted for each month for delivery during the notice period;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maintain the Product specifications unchanged, unless required by applicable law, safety concerns, or Material unavailability.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20.6</w:t>
      </w:r>
    </w:p>
    <w:p>
      <w:pPr>
        <w:pStyle w:val="TextBody"/>
        <w:bidi w:val="0"/>
        <w:spacing w:before="0" w:after="240"/>
        <w:jc w:val="both"/>
        <w:rPr/>
      </w:pPr>
      <w:r>
        <w:rPr>
          <w:rFonts w:ascii="Times New Roman" w:hAnsi="Times New Roman"/>
          <w:color w:val="000000"/>
          <w:sz w:val="20"/>
          <w:u w:val="single"/>
        </w:rPr>
        <w:t>Efforts to avoid Supply Disruption</w:t>
      </w:r>
      <w:r>
        <w:rPr>
          <w:rFonts w:ascii="Times New Roman" w:hAnsi="Times New Roman"/>
          <w:color w:val="000000"/>
          <w:sz w:val="20"/>
        </w:rPr>
        <w:t>. Supplier shall use commercially reasonable efforts to fulfil all last-time buy P.O.s and avoid supply disruptions due to end-of-life of Materials and shall promptly notify Customer if such circumstances arise.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20.7</w:t>
      </w:r>
    </w:p>
    <w:p>
      <w:pPr>
        <w:pStyle w:val="TextBody"/>
        <w:bidi w:val="0"/>
        <w:spacing w:before="0" w:after="240"/>
        <w:jc w:val="both"/>
        <w:rPr/>
      </w:pPr>
      <w:r>
        <w:rPr>
          <w:rFonts w:ascii="Times New Roman" w:hAnsi="Times New Roman"/>
          <w:color w:val="000000"/>
          <w:sz w:val="20"/>
          <w:u w:val="single"/>
        </w:rPr>
        <w:t>Discontinuation License</w:t>
      </w:r>
      <w:r>
        <w:rPr>
          <w:rFonts w:ascii="Times New Roman" w:hAnsi="Times New Roman"/>
          <w:color w:val="000000"/>
          <w:sz w:val="20"/>
        </w:rPr>
        <w:t>. Subject to Sections 20.1-20.6 and only if supply disruption is based on Supplier’s decision to discontinue the Product during the Term of this Agreement, Customer and Supplier shall discuss in good faith [*], subject to commercially reasonable terms and conditions to be mutually agreed upon by the Parties. Such license shall not survive end of the term of the Agreement, unless otherwise agreed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20.8</w:t>
      </w:r>
    </w:p>
    <w:p>
      <w:pPr>
        <w:pStyle w:val="TextBody"/>
        <w:bidi w:val="0"/>
        <w:spacing w:before="0" w:after="240"/>
        <w:jc w:val="both"/>
        <w:rPr/>
      </w:pPr>
      <w:r>
        <w:rPr>
          <w:rFonts w:ascii="Times New Roman" w:hAnsi="Times New Roman"/>
          <w:color w:val="000000"/>
          <w:sz w:val="20"/>
          <w:u w:val="single"/>
        </w:rPr>
        <w:t>Emergency Transfer License</w:t>
      </w:r>
      <w:r>
        <w:rPr>
          <w:rFonts w:ascii="Times New Roman" w:hAnsi="Times New Roman"/>
          <w:color w:val="000000"/>
          <w:sz w:val="20"/>
        </w:rPr>
        <w:t>. Subject to the terms of this Section 20.8, Supplier grants to Customer [*] (“</w:t>
      </w:r>
      <w:r>
        <w:rPr>
          <w:rFonts w:ascii="Times New Roman" w:hAnsi="Times New Roman"/>
          <w:b/>
          <w:color w:val="000000"/>
          <w:sz w:val="20"/>
        </w:rPr>
        <w:t>Necessary IP</w:t>
      </w:r>
      <w:r>
        <w:rPr>
          <w:color w:val="000000"/>
        </w:rPr>
        <w:t>”</w:t>
      </w:r>
      <w:r>
        <w:rPr>
          <w:rFonts w:ascii="Times New Roman" w:hAnsi="Times New Roman"/>
          <w:color w:val="000000"/>
          <w:sz w:val="20"/>
        </w:rPr>
        <w:t>) [*] solely to ensure continuity of supply of the Customer’s Finished Product to patients [*], excluding any period impacted by [*] or predominantly caused by [*] (the “</w:t>
      </w:r>
      <w:r>
        <w:rPr>
          <w:rFonts w:ascii="Times New Roman" w:hAnsi="Times New Roman"/>
          <w:b/>
          <w:color w:val="000000"/>
          <w:sz w:val="20"/>
        </w:rPr>
        <w:t>Transfer License</w:t>
      </w:r>
      <w:r>
        <w:rPr>
          <w:color w:val="000000"/>
        </w:rPr>
        <w:t>”</w:t>
      </w:r>
      <w:r>
        <w:rPr>
          <w:rFonts w:ascii="Times New Roman" w:hAnsi="Times New Roman"/>
          <w:color w:val="000000"/>
          <w:sz w:val="20"/>
        </w:rPr>
        <w:t>). In the event the requirements for the Transfer License are met, and Customer [*] a royalty will be paid by [*]. The royalty amount so calculated will be paid by Customer to Supplier on annual basis, against regular invoice issued by Supplier on 31st January of each year. [*]. However, Customer shall use reasonable efforts to return to Supplier supply and not use the license after Supplier resumes supply.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this case, the disclosure of [*] shall be discussed and governed by the Confidentiality provisions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20.9</w:t>
      </w:r>
    </w:p>
    <w:p>
      <w:pPr>
        <w:pStyle w:val="TextBody"/>
        <w:bidi w:val="0"/>
        <w:spacing w:before="0" w:after="240"/>
        <w:jc w:val="both"/>
        <w:rPr/>
      </w:pPr>
      <w:r>
        <w:rPr>
          <w:rFonts w:ascii="Times New Roman" w:hAnsi="Times New Roman"/>
          <w:color w:val="000000"/>
          <w:sz w:val="20"/>
          <w:u w:val="single"/>
        </w:rPr>
        <w:t>No Obligation Beyond Phase-Out Period</w:t>
      </w:r>
      <w:r>
        <w:rPr>
          <w:rFonts w:ascii="Times New Roman" w:hAnsi="Times New Roman"/>
          <w:color w:val="000000"/>
          <w:sz w:val="20"/>
        </w:rPr>
        <w:t>. Nothing in this clause obliges Supplier to continue manufacturing the Product beyond the phase-out period, except for quantities validly ordered under the last-time-buy process.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20.10</w:t>
      </w:r>
    </w:p>
    <w:p>
      <w:pPr>
        <w:pStyle w:val="TextBody"/>
        <w:bidi w:val="0"/>
        <w:spacing w:before="0" w:after="240"/>
        <w:jc w:val="both"/>
        <w:rPr/>
      </w:pPr>
      <w:r>
        <w:rPr>
          <w:rFonts w:ascii="Times New Roman" w:hAnsi="Times New Roman"/>
          <w:color w:val="000000"/>
          <w:sz w:val="20"/>
          <w:u w:val="single"/>
        </w:rPr>
        <w:t>Acknowledgement</w:t>
      </w:r>
      <w:r>
        <w:rPr>
          <w:rFonts w:ascii="Times New Roman" w:hAnsi="Times New Roman"/>
          <w:color w:val="000000"/>
          <w:sz w:val="20"/>
        </w:rPr>
        <w:t>. Supplier acknowledges and agrees that it may only discontinue the Product pursuant to this Section 20 in the event that it fully and permanently discontinues the Product and ceases manufacture and supply of the Product for itself, its Affiliates and all third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TERM - TERMINATION - CONSEQUENCES OF 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21.1</w:t>
      </w:r>
    </w:p>
    <w:p>
      <w:pPr>
        <w:pStyle w:val="TextBody"/>
        <w:bidi w:val="0"/>
        <w:spacing w:before="0" w:after="240"/>
        <w:jc w:val="both"/>
        <w:rPr/>
      </w:pPr>
      <w:r>
        <w:rPr>
          <w:rFonts w:ascii="Times New Roman" w:hAnsi="Times New Roman"/>
          <w:color w:val="000000"/>
          <w:sz w:val="20"/>
          <w:u w:val="single"/>
        </w:rPr>
        <w:t>Term</w:t>
      </w:r>
      <w:r>
        <w:rPr>
          <w:rFonts w:ascii="Times New Roman" w:hAnsi="Times New Roman"/>
          <w:color w:val="000000"/>
          <w:sz w:val="20"/>
        </w:rPr>
        <w:t>. Unless earlier terminated in accordance with the provisions of this Agreement, this Agreement shall enter into force on the Effective Date and shall continue for an initial term ending [*] (the “</w:t>
      </w:r>
      <w:r>
        <w:rPr>
          <w:rFonts w:ascii="Times New Roman" w:hAnsi="Times New Roman"/>
          <w:b/>
          <w:color w:val="000000"/>
          <w:sz w:val="20"/>
        </w:rPr>
        <w:t>Initial Term</w:t>
      </w:r>
      <w:r>
        <w:rPr>
          <w:color w:val="000000"/>
        </w:rPr>
        <w:t>”</w:t>
      </w:r>
      <w:r>
        <w:rPr>
          <w:rFonts w:ascii="Times New Roman" w:hAnsi="Times New Roman"/>
          <w:color w:val="000000"/>
          <w:sz w:val="20"/>
        </w:rPr>
        <w:t>). Upon expiry of the Initial Term, this Agreement shall automatically continue in force for an indefinite duration, unless and until terminated by either Party in accordance with Section 21.3. (the “</w:t>
      </w:r>
      <w:r>
        <w:rPr>
          <w:rFonts w:ascii="Times New Roman" w:hAnsi="Times New Roman"/>
          <w:b/>
          <w:color w:val="000000"/>
          <w:sz w:val="20"/>
        </w:rPr>
        <w:t>Extended Term</w:t>
      </w:r>
      <w:r>
        <w:rPr>
          <w:color w:val="000000"/>
        </w:rPr>
        <w:t xml:space="preserve">” </w:t>
      </w:r>
      <w:r>
        <w:rPr>
          <w:rFonts w:ascii="Times New Roman" w:hAnsi="Times New Roman"/>
          <w:color w:val="000000"/>
          <w:sz w:val="20"/>
        </w:rPr>
        <w:t>and, together with the Initial Term, the “</w:t>
      </w:r>
      <w:r>
        <w:rPr>
          <w:rFonts w:ascii="Times New Roman" w:hAnsi="Times New Roman"/>
          <w:b/>
          <w:color w:val="000000"/>
          <w:sz w:val="20"/>
        </w:rPr>
        <w:t>Term</w:t>
      </w:r>
      <w:r>
        <w:rPr>
          <w:color w:val="000000"/>
        </w:rPr>
        <w:t>”</w:t>
      </w:r>
      <w:r>
        <w:rPr>
          <w:rFonts w:ascii="Times New Roman" w:hAnsi="Times New Roman"/>
          <w:color w:val="000000"/>
          <w:sz w:val="20"/>
        </w:rPr>
        <w:t>). Following the expiry of the Initial Term, Supplier may terminate this Agreement for any reason (or no reason) upon not less than [*] prior written notice to Customer (which notice may only be delivered following expiry of the Initial Term). For the avoidance of doubt, the continuation of this Agreement on an indefinite basis, the grant or maintenance of any exclusivity, the inclusion of Exclusivity Minimum Retention Quantities for future periods, or Customer’s compliance with such quantities shall not be construed as extending the Term of this Agreement or limiting either Party’s right to terminate this Agreement in accordance with Section 21.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21.2</w:t>
      </w:r>
    </w:p>
    <w:p>
      <w:pPr>
        <w:pStyle w:val="TextBody"/>
        <w:bidi w:val="0"/>
        <w:spacing w:before="0" w:after="240"/>
        <w:jc w:val="both"/>
        <w:rPr/>
      </w:pPr>
      <w:r>
        <w:rPr>
          <w:rFonts w:ascii="Times New Roman" w:hAnsi="Times New Roman"/>
          <w:color w:val="000000"/>
          <w:sz w:val="20"/>
          <w:u w:val="single"/>
        </w:rPr>
        <w:t>Termination by Supplier. Supplier may terminate this Agreement</w:t>
      </w:r>
      <w:r>
        <w:rPr>
          <w:rFonts w:ascii="Times New Roman" w:hAnsi="Times New Roman"/>
          <w:color w:val="000000"/>
          <w:sz w:val="20"/>
        </w:rPr>
        <w:t>:</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18</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21.2.1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written notice to Customer if Customer breaches any undisputed payment obligations and does not cure such breach within [*] after receipt of written notice of such breach from Supplier;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21.2.2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following discontinuation of the Product, subject to the discontinuation procedures and terms set forth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21.3</w:t>
      </w:r>
    </w:p>
    <w:p>
      <w:pPr>
        <w:pStyle w:val="TextBody"/>
        <w:bidi w:val="0"/>
        <w:spacing w:before="0" w:after="240"/>
        <w:jc w:val="both"/>
        <w:rPr/>
      </w:pPr>
      <w:r>
        <w:rPr>
          <w:rFonts w:ascii="Times New Roman" w:hAnsi="Times New Roman"/>
          <w:color w:val="000000"/>
          <w:sz w:val="20"/>
          <w:u w:val="single"/>
        </w:rPr>
        <w:t>Termination by Customer. Customer may terminate this Agreement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21.3.1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 prior written notice to Supplier, for any reason (or no reason) at any time during the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21.3.2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written notice to Supplier if Supplier breaches any provision of this Agreement and does not cure such breach within [*] after receipt of a written notice of such breach from Customer.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21.4</w:t>
      </w:r>
    </w:p>
    <w:p>
      <w:pPr>
        <w:pStyle w:val="TextBody"/>
        <w:bidi w:val="0"/>
        <w:spacing w:before="0" w:after="240"/>
        <w:jc w:val="both"/>
        <w:rPr/>
      </w:pPr>
      <w:r>
        <w:rPr>
          <w:rFonts w:ascii="Times New Roman" w:hAnsi="Times New Roman"/>
          <w:color w:val="000000"/>
          <w:sz w:val="20"/>
          <w:u w:val="single"/>
        </w:rPr>
        <w:t>Termination by either Party</w:t>
      </w:r>
      <w:r>
        <w:rPr>
          <w:rFonts w:ascii="Times New Roman" w:hAnsi="Times New Roman"/>
          <w:color w:val="000000"/>
          <w:sz w:val="20"/>
        </w:rPr>
        <w:t>. Either Party may at any time terminate this Agreement by giving written notice to the other if the other Party goes into liquidation, becomes bankrupt, makes a voluntary arrangement with its creditors or has a receiver or administrator appointed or any comparable event of insolvency.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21.5</w:t>
      </w:r>
    </w:p>
    <w:p>
      <w:pPr>
        <w:pStyle w:val="TextBody"/>
        <w:bidi w:val="0"/>
        <w:spacing w:before="0" w:after="240"/>
        <w:jc w:val="both"/>
        <w:rPr/>
      </w:pPr>
      <w:r>
        <w:rPr>
          <w:rFonts w:ascii="Times New Roman" w:hAnsi="Times New Roman"/>
          <w:color w:val="000000"/>
          <w:sz w:val="20"/>
          <w:u w:val="single"/>
        </w:rPr>
        <w:t>Accrued Rights</w:t>
      </w:r>
      <w:r>
        <w:rPr>
          <w:rFonts w:ascii="Times New Roman" w:hAnsi="Times New Roman"/>
          <w:color w:val="000000"/>
          <w:sz w:val="20"/>
        </w:rPr>
        <w:t>. The termination of this Agreement for any reason shall not affect either Party’s accrued right, remedies or liabilities including any payment of any sum due by Customer at the effective date of termination and/or Customer’s obligation to take delivery of and pay the Price of the Products ordered before the effective date of 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21.6</w:t>
      </w:r>
    </w:p>
    <w:p>
      <w:pPr>
        <w:pStyle w:val="TextBody"/>
        <w:bidi w:val="0"/>
        <w:spacing w:before="0" w:after="240"/>
        <w:jc w:val="both"/>
        <w:rPr/>
      </w:pPr>
      <w:r>
        <w:rPr>
          <w:rFonts w:ascii="Times New Roman" w:hAnsi="Times New Roman"/>
          <w:color w:val="000000"/>
          <w:sz w:val="20"/>
          <w:u w:val="single"/>
        </w:rPr>
        <w:t>Effects of Termination</w:t>
      </w:r>
      <w:r>
        <w:rPr>
          <w:rFonts w:ascii="Times New Roman" w:hAnsi="Times New Roman"/>
          <w:color w:val="000000"/>
          <w:sz w:val="20"/>
        </w:rPr>
        <w:t>. Upon expiration or termination of this Agreement, Customer shall have the option (in its discretion) of either (i) cancelling all outstanding P.O.s or (ii) requiring Supplier to continue to supply the Product in accordance with all P.O.s previously submitted (which supply shall be in accordance with the terms and conditions of this Agreement). In the event that Customer exercises its option to continue to receive Product pursuant to the foregoing sub-clause (ii), then Supplier shall manufacture and supply to Customer the applicable Product in such P.O.s in accordance with the terms and conditions of this Agreement. In addition, in the event of termination by Supplier pursuant to Section 21.2.2, the terms of Section [20.7] shall apply.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GOVERNING LAW AND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22.1</w:t>
      </w:r>
    </w:p>
    <w:p>
      <w:pPr>
        <w:pStyle w:val="TextBody"/>
        <w:bidi w:val="0"/>
        <w:spacing w:before="0" w:after="240"/>
        <w:jc w:val="both"/>
        <w:rPr/>
      </w:pPr>
      <w:r>
        <w:rPr>
          <w:rFonts w:ascii="Times New Roman" w:hAnsi="Times New Roman"/>
          <w:color w:val="000000"/>
          <w:sz w:val="20"/>
          <w:u w:val="single"/>
        </w:rPr>
        <w:t>Governing Law</w:t>
      </w:r>
      <w:r>
        <w:rPr>
          <w:rFonts w:ascii="Times New Roman" w:hAnsi="Times New Roman"/>
          <w:color w:val="000000"/>
          <w:sz w:val="20"/>
        </w:rPr>
        <w:t>. The construction, validity and performance of this Agreement and any dispute or claim arising out of or in connection thereof (including non-contractual disputes or claims) shall be governed by and construed in accordance with the substantive laws of Switzerland, excluding its conflict-of-laws rules and the United Nations Convention on Contracts for the International Sale of Goods (CISG).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22.2</w:t>
      </w:r>
    </w:p>
    <w:p>
      <w:pPr>
        <w:pStyle w:val="TextBody"/>
        <w:bidi w:val="0"/>
        <w:spacing w:before="0" w:after="240"/>
        <w:jc w:val="both"/>
        <w:rPr/>
      </w:pPr>
      <w:r>
        <w:rPr>
          <w:rFonts w:ascii="Times New Roman" w:hAnsi="Times New Roman"/>
          <w:color w:val="000000"/>
          <w:sz w:val="20"/>
          <w:u w:val="single"/>
        </w:rPr>
        <w:t>Jurisdiction</w:t>
      </w:r>
      <w:r>
        <w:rPr>
          <w:rFonts w:ascii="Times New Roman" w:hAnsi="Times New Roman"/>
          <w:color w:val="000000"/>
          <w:sz w:val="20"/>
        </w:rPr>
        <w:t>. The courts of Zurich, Switzerland (City of Zurich, 1st District) shall have exclusive jurisdiction to settle any dispute arising out of or in connection with this Agreement (including non-contractual disputes or claim).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23.1</w:t>
      </w:r>
    </w:p>
    <w:p>
      <w:pPr>
        <w:pStyle w:val="TextBody"/>
        <w:bidi w:val="0"/>
        <w:spacing w:before="0" w:after="240"/>
        <w:jc w:val="both"/>
        <w:rPr/>
      </w:pPr>
      <w:r>
        <w:rPr>
          <w:rFonts w:ascii="Times New Roman" w:hAnsi="Times New Roman"/>
          <w:color w:val="000000"/>
          <w:sz w:val="20"/>
          <w:u w:val="single"/>
        </w:rPr>
        <w:t>Survival</w:t>
      </w:r>
      <w:r>
        <w:rPr>
          <w:rFonts w:ascii="Times New Roman" w:hAnsi="Times New Roman"/>
          <w:color w:val="000000"/>
          <w:sz w:val="20"/>
        </w:rPr>
        <w:t>. The terms, provisions, representations and warranties contained in this Agreement that by their sense and context are intended to survive the performance thereof (including Sections 4.2, 7.4, 10.1 through 10.6, 15.4, 15.5, 15.7, 21.5, and 21.6, and Articles 1 (solely to the extent necessary to interpret surviving provisions), 8, 9, 11, 12, 13, 16, 19, 22, and this 23) by either Party or both Parties hereunder shall so survive the completion of performance, expiration or termination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23.2</w:t>
      </w:r>
    </w:p>
    <w:p>
      <w:pPr>
        <w:pStyle w:val="TextBody"/>
        <w:bidi w:val="0"/>
        <w:spacing w:before="0" w:after="240"/>
        <w:jc w:val="both"/>
        <w:rPr/>
      </w:pPr>
      <w:r>
        <w:rPr>
          <w:rFonts w:ascii="Times New Roman" w:hAnsi="Times New Roman"/>
          <w:color w:val="000000"/>
          <w:sz w:val="20"/>
          <w:u w:val="single"/>
        </w:rPr>
        <w:t>Mutual Representations and Warranties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23.2.1</w:t>
      </w:r>
    </w:p>
    <w:p>
      <w:pPr>
        <w:pStyle w:val="TextBody"/>
        <w:bidi w:val="0"/>
        <w:spacing w:before="0" w:after="240"/>
        <w:jc w:val="both"/>
        <w:rPr/>
      </w:pPr>
      <w:r>
        <w:rPr>
          <w:rFonts w:ascii="Times New Roman" w:hAnsi="Times New Roman"/>
          <w:color w:val="000000"/>
          <w:sz w:val="20"/>
          <w:u w:val="single"/>
        </w:rPr>
        <w:t>Mutual Representations and Warranties</w:t>
      </w:r>
      <w:r>
        <w:rPr>
          <w:rFonts w:ascii="Times New Roman" w:hAnsi="Times New Roman"/>
          <w:color w:val="000000"/>
          <w:sz w:val="20"/>
        </w:rPr>
        <w:t>. Each Party represents and warrants to the other Party that:</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19</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execution nor performance of this Agreement violates any other contract or obligation of such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is validly created and currently in existence or good standing in its state of incorporation;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its signatory is authorized and fully empowered to execute this Agreement on its behalf;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constitutes a valid and binding agreement enforceable against it in accordance with its terms (except as the enforceability thereof 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23.2.2</w:t>
      </w:r>
    </w:p>
    <w:p>
      <w:pPr>
        <w:pStyle w:val="TextBody"/>
        <w:bidi w:val="0"/>
        <w:spacing w:before="0" w:after="240"/>
        <w:jc w:val="both"/>
        <w:rPr/>
      </w:pPr>
      <w:r>
        <w:rPr>
          <w:rFonts w:ascii="Times New Roman" w:hAnsi="Times New Roman"/>
          <w:color w:val="000000"/>
          <w:sz w:val="20"/>
          <w:u w:val="single"/>
        </w:rPr>
        <w:t>Supplier Representations and Warranties</w:t>
      </w:r>
      <w:r>
        <w:rPr>
          <w:rFonts w:ascii="Times New Roman" w:hAnsi="Times New Roman"/>
          <w:color w:val="000000"/>
          <w:sz w:val="20"/>
        </w:rPr>
        <w:t>. Supplier represents and warrants to Customer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has the requisite Intellectual Property Rights in its equipment, facility(ies) and technologies to manufacture and supply the Product in accordance with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has not misappropriated, and will not misappropriate, any Intellectual Property Rights of any third party in performing its obligations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Supplier’s intellectual property is concerned, no claims have been asserted, or, to Supplier’s knowledge, threatened by any third party, nor are there any valid grounds for any claim of any such kind to the effect that the use, manufacturing, distribution, offer for sale, sale, importing or exporting of the Product infringes or will infringe on any intellectual property rights of any third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has and will continue to have all permits, licenses, certifications, authorization and other approvals necessary for it to perform its obligations under this Agreement;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tangible information and data provided by or on behalf of Supplier to Customer on or before the Effective Date in contemplation of this Agreement was and is true, accurate and complete in all material respects, and Supplier has not failed to disclose, or cause to be disclosed, any information or data that would cause the information and data that has been disclosed to be misleading in any material respect.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23.3</w:t>
      </w:r>
    </w:p>
    <w:p>
      <w:pPr>
        <w:pStyle w:val="TextBody"/>
        <w:bidi w:val="0"/>
        <w:spacing w:before="0" w:after="240"/>
        <w:jc w:val="both"/>
        <w:rPr/>
      </w:pPr>
      <w:r>
        <w:rPr>
          <w:rFonts w:ascii="Times New Roman" w:hAnsi="Times New Roman"/>
          <w:color w:val="000000"/>
          <w:sz w:val="20"/>
          <w:u w:val="single"/>
        </w:rPr>
        <w:t>Assignment</w:t>
      </w:r>
      <w:r>
        <w:rPr>
          <w:rFonts w:ascii="Times New Roman" w:hAnsi="Times New Roman"/>
          <w:color w:val="000000"/>
          <w:sz w:val="20"/>
        </w:rPr>
        <w:t>. This Agreement may not be assigned by either Party, in whole or in part, without the other Party’s prior written consent, which shall not be unreasonably withheld, conditioned, or delayed; except that (i) either Party may, without the written consent of the other Party, assign this Agreement and its rights and obligations hereunder in whole or in part to an Affiliate of such Party and (ii) Customer may, without the written consent of Supplier, assign this Agreement and its rights and obligations hereunder (or under a transaction under which this Agreement is assumed) in connection with the transfer or sale of all or substantially all of its assets or business related to the subject matter of this Agreement, or in the event of its merger or consolidation or similar transaction. Any assignment by Supplier that would result in a change to the approved manufacturing site, the manufacturing legal entity, or any other element that is part of the regulatory filing or approval for the Product or Customer’s Finished Product shall require Customer’s prior written approval. Any attempted assignment not in accordance with this Section 23.3 shall be void.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23.4</w:t>
      </w:r>
    </w:p>
    <w:p>
      <w:pPr>
        <w:pStyle w:val="TextBody"/>
        <w:bidi w:val="0"/>
        <w:spacing w:before="0" w:after="240"/>
        <w:jc w:val="both"/>
        <w:rPr/>
      </w:pPr>
      <w:r>
        <w:rPr>
          <w:rFonts w:ascii="Times New Roman" w:hAnsi="Times New Roman"/>
          <w:color w:val="000000"/>
          <w:sz w:val="20"/>
          <w:u w:val="single"/>
        </w:rPr>
        <w:t>No Waiver</w:t>
      </w:r>
      <w:r>
        <w:rPr>
          <w:rFonts w:ascii="Times New Roman" w:hAnsi="Times New Roman"/>
          <w:color w:val="000000"/>
          <w:sz w:val="20"/>
        </w:rPr>
        <w:t>. No delay or omission by either Party hereto in exercising any right or power hereunder will impair such right or power or be construed to be a waiver thereof. A waiver by either Party hereto of any of the covenants to be performed by the other or any breach thereof will not be construed to be a waiver of any succeeding breach thereof or of any other covenant herein contained.</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20</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23.5</w:t>
      </w:r>
    </w:p>
    <w:p>
      <w:pPr>
        <w:pStyle w:val="TextBody"/>
        <w:bidi w:val="0"/>
        <w:spacing w:before="0" w:after="240"/>
        <w:jc w:val="both"/>
        <w:rPr/>
      </w:pPr>
      <w:r>
        <w:rPr>
          <w:rFonts w:ascii="Times New Roman" w:hAnsi="Times New Roman"/>
          <w:color w:val="000000"/>
          <w:sz w:val="20"/>
          <w:u w:val="single"/>
        </w:rPr>
        <w:t>Entire Agreement, Amendment</w:t>
      </w:r>
      <w:r>
        <w:rPr>
          <w:rFonts w:ascii="Times New Roman" w:hAnsi="Times New Roman"/>
          <w:color w:val="000000"/>
          <w:sz w:val="20"/>
        </w:rPr>
        <w:t>. This Agreement, including the Schedules attached hereto, together with the Quality Agreement constitutes the entire contract between the Parties as to the subject matter contained and terminates and supersedes any prior written or unwritten understanding relating to same, except that any validly executed confidentiality agreement shall remain in full force and effect for the remaining term thereunder. Article, section, and paragraph headings, if any, are inserted for convenience only and shall not add to or detract from this Agreement. This Agreement may be altered or amended only by a written document signed by both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23.6</w:t>
      </w:r>
    </w:p>
    <w:p>
      <w:pPr>
        <w:pStyle w:val="TextBody"/>
        <w:bidi w:val="0"/>
        <w:spacing w:before="0" w:after="240"/>
        <w:jc w:val="both"/>
        <w:rPr/>
      </w:pPr>
      <w:r>
        <w:rPr>
          <w:rFonts w:ascii="Times New Roman" w:hAnsi="Times New Roman"/>
          <w:color w:val="000000"/>
          <w:sz w:val="20"/>
          <w:u w:val="single"/>
        </w:rPr>
        <w:t>Severability</w:t>
      </w:r>
      <w:r>
        <w:rPr>
          <w:rFonts w:ascii="Times New Roman" w:hAnsi="Times New Roman"/>
          <w:color w:val="000000"/>
          <w:sz w:val="20"/>
        </w:rPr>
        <w:t>. If any provision of this Agreement is held invalid by any tribunal in a final decision, such provision shall be deemed modified to eliminate the invalid element, and, as so modified, such provision shall be deemed a part of this Agreement. If it is not possible to modify any such provision to eliminate the invalid element, such provision shall be deemed eliminated from this Agreement. The invalidity of any provision of this Agreement shall not affect the force and validity of the remaining provisions.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23.7</w:t>
      </w:r>
    </w:p>
    <w:p>
      <w:pPr>
        <w:pStyle w:val="TextBody"/>
        <w:bidi w:val="0"/>
        <w:spacing w:before="0" w:after="240"/>
        <w:jc w:val="both"/>
        <w:rPr/>
      </w:pPr>
      <w:r>
        <w:rPr>
          <w:rFonts w:ascii="Times New Roman" w:hAnsi="Times New Roman"/>
          <w:color w:val="000000"/>
          <w:sz w:val="20"/>
          <w:u w:val="single"/>
        </w:rPr>
        <w:t>Notices</w:t>
      </w:r>
      <w:r>
        <w:rPr>
          <w:rFonts w:ascii="Times New Roman" w:hAnsi="Times New Roman"/>
          <w:color w:val="000000"/>
          <w:sz w:val="20"/>
        </w:rPr>
        <w:t xml:space="preserve">. All notices required by this Agreement shall be in writing and shall be deemed given as of the date received and shall be personally delivered or sent either by registered or certified mail, return receipt requested, or by nationally recognized overnight courier, addressed to the Parties at the addresses specified in </w:t>
      </w:r>
      <w:r>
        <w:rPr>
          <w:rFonts w:ascii="Times New Roman" w:hAnsi="Times New Roman"/>
          <w:color w:val="000000"/>
          <w:sz w:val="20"/>
          <w:u w:val="single"/>
        </w:rPr>
        <w:t>Schedule 4</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23.8</w:t>
      </w:r>
    </w:p>
    <w:p>
      <w:pPr>
        <w:pStyle w:val="TextBody"/>
        <w:bidi w:val="0"/>
        <w:spacing w:before="0" w:after="240"/>
        <w:jc w:val="both"/>
        <w:rPr/>
      </w:pPr>
      <w:r>
        <w:rPr>
          <w:rFonts w:ascii="Times New Roman" w:hAnsi="Times New Roman"/>
          <w:color w:val="000000"/>
          <w:sz w:val="20"/>
          <w:u w:val="single"/>
        </w:rPr>
        <w:t>Attorney’s Fees and Other Costs</w:t>
      </w:r>
      <w:r>
        <w:rPr>
          <w:rFonts w:ascii="Times New Roman" w:hAnsi="Times New Roman"/>
          <w:color w:val="000000"/>
          <w:sz w:val="20"/>
        </w:rPr>
        <w:t>. In the event of any controversy, claim or dispute between the Parties hereto arising out of a breach of this Agreement or otherwise relating to this Agreement, the prevailing Party shall be entitled to recover from the losing Party reasonable attorney’s and experts’ fees and other costs reasonably incurred by the prevailing Party in enforcing its rights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23.9</w:t>
      </w:r>
    </w:p>
    <w:p>
      <w:pPr>
        <w:pStyle w:val="TextBody"/>
        <w:bidi w:val="0"/>
        <w:spacing w:before="0" w:after="240"/>
        <w:jc w:val="both"/>
        <w:rPr/>
      </w:pPr>
      <w:r>
        <w:rPr>
          <w:rFonts w:ascii="Times New Roman" w:hAnsi="Times New Roman"/>
          <w:color w:val="000000"/>
          <w:sz w:val="20"/>
          <w:u w:val="single"/>
        </w:rPr>
        <w:t>Third Party Beneficiaries</w:t>
      </w:r>
      <w:r>
        <w:rPr>
          <w:rFonts w:ascii="Times New Roman" w:hAnsi="Times New Roman"/>
          <w:color w:val="000000"/>
          <w:sz w:val="20"/>
        </w:rPr>
        <w:t>: There shall be no third party beneficiaries of this Agreement unless the Parties specifically identify such beneficiaries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23.10</w:t>
      </w:r>
    </w:p>
    <w:p>
      <w:pPr>
        <w:pStyle w:val="TextBody"/>
        <w:bidi w:val="0"/>
        <w:spacing w:before="0" w:after="240"/>
        <w:jc w:val="both"/>
        <w:rPr/>
      </w:pPr>
      <w:r>
        <w:rPr>
          <w:rFonts w:ascii="Times New Roman" w:hAnsi="Times New Roman"/>
          <w:color w:val="000000"/>
          <w:sz w:val="20"/>
          <w:u w:val="single"/>
        </w:rPr>
        <w:t>Order of Precedence</w:t>
      </w:r>
      <w:r>
        <w:rPr>
          <w:rFonts w:ascii="Times New Roman" w:hAnsi="Times New Roman"/>
          <w:color w:val="000000"/>
          <w:sz w:val="20"/>
        </w:rPr>
        <w:t>: Any inconsistency in any documents relating to the purchase of the Product shall be resolved by giving precedence in the following order: (i) the terms and conditions of this Agreement (including the Schedules attached hereto); (ii) the provisions and text appearing on the acceptance of a P.O.; and (iii) other documents, exhibits and attachments which accompany the Products. Notwithstanding the foregoing, the Quality Agreement shall prevail over this Agreement solely with respect to quality and regulatory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23.11</w:t>
      </w:r>
    </w:p>
    <w:p>
      <w:pPr>
        <w:pStyle w:val="TextBody"/>
        <w:bidi w:val="0"/>
        <w:spacing w:before="0" w:after="240"/>
        <w:jc w:val="both"/>
        <w:rPr/>
      </w:pPr>
      <w:r>
        <w:rPr>
          <w:rFonts w:ascii="Times New Roman" w:hAnsi="Times New Roman"/>
          <w:color w:val="000000"/>
          <w:sz w:val="20"/>
          <w:u w:val="single"/>
        </w:rPr>
        <w:t>Cumulative Remedies</w:t>
      </w:r>
      <w:r>
        <w:rPr>
          <w:rFonts w:ascii="Times New Roman" w:hAnsi="Times New Roman"/>
          <w:color w:val="000000"/>
          <w:sz w:val="20"/>
        </w:rPr>
        <w:t>. No remedy referred to in this Agreement is intended to be exclusive unless explicitly stated to be so, but each shall be cumulative and in addition to any other remedy referred to in this Agreement or otherwise available under applicable law.</w:t>
      </w:r>
    </w:p>
    <w:p>
      <w:pPr>
        <w:pStyle w:val="TextBody"/>
        <w:bidi w:val="0"/>
        <w:spacing w:before="0" w:after="480"/>
        <w:jc w:val="both"/>
        <w:rPr>
          <w:rFonts w:ascii="Times New Roman" w:hAnsi="Times New Roman"/>
          <w:color w:val="000000"/>
          <w:sz w:val="20"/>
        </w:rPr>
      </w:pPr>
      <w:r>
        <w:rPr>
          <w:rFonts w:ascii="Times New Roman" w:hAnsi="Times New Roman"/>
          <w:color w:val="000000"/>
          <w:sz w:val="20"/>
        </w:rPr>
        <w:t>23.12</w:t>
      </w:r>
    </w:p>
    <w:p>
      <w:pPr>
        <w:pStyle w:val="TextBody"/>
        <w:bidi w:val="0"/>
        <w:spacing w:before="0" w:after="480"/>
        <w:jc w:val="both"/>
        <w:rPr/>
      </w:pPr>
      <w:r>
        <w:rPr>
          <w:rFonts w:ascii="Times New Roman" w:hAnsi="Times New Roman"/>
          <w:color w:val="000000"/>
          <w:sz w:val="20"/>
          <w:u w:val="single"/>
        </w:rPr>
        <w:t>Electronic Signature</w:t>
      </w:r>
      <w:r>
        <w:rPr>
          <w:rFonts w:ascii="Times New Roman" w:hAnsi="Times New Roman"/>
          <w:color w:val="000000"/>
          <w:sz w:val="20"/>
        </w:rPr>
        <w:t>. This Agreement (and any orders, statements of work, addenda, notices and other documents relating to it) may be executed and delivered electronically, including by click-to-accept, typed name, scanned/PDF signatures, or digital signatures applied through a reputable e-signature platform. Each such electronic signature constitutes the signatory’s intent to sign and shall have the same legal effect as a handwritten signature to the fullest extent permitted by applicable law. This Agreement may be signed in counterparts, each of which is deemed an original, and together they constitute one instrument. Electronic records generated by the e-signature service (including audit trails and certificates) are admissible as original evidence of execution and delivery. The foregoing is without prejudice to documents that mandatorily require notarization, public form or filing in a public register under applicable law, which are excluded unless executed in the form legally required.</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21</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887" w:type="dxa"/>
        <w:jc w:val="left"/>
        <w:tblInd w:w="0" w:type="dxa"/>
        <w:tblLayout w:type="fixed"/>
        <w:tblCellMar>
          <w:top w:w="28" w:type="dxa"/>
          <w:left w:w="28" w:type="dxa"/>
          <w:bottom w:w="28" w:type="dxa"/>
          <w:right w:w="28" w:type="dxa"/>
        </w:tblCellMar>
      </w:tblPr>
      <w:tblGrid>
        <w:gridCol w:w="2836"/>
        <w:gridCol w:w="4051"/>
      </w:tblGrid>
      <w:tr>
        <w:trPr/>
        <w:tc>
          <w:tcPr>
            <w:tcW w:w="2836"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240" w:after="720"/>
              <w:jc w:val="left"/>
              <w:rPr>
                <w:rFonts w:ascii="Times New Roman" w:hAnsi="Times New Roman"/>
                <w:b/>
                <w:color w:val="000000"/>
                <w:sz w:val="20"/>
              </w:rPr>
            </w:pPr>
            <w:r>
              <w:rPr>
                <w:rFonts w:ascii="Times New Roman" w:hAnsi="Times New Roman"/>
                <w:b/>
                <w:color w:val="000000"/>
                <w:sz w:val="20"/>
              </w:rPr>
              <w:t>On behalf of PLASTIAPE S.P.A.</w:t>
            </w:r>
          </w:p>
          <w:p>
            <w:pPr>
              <w:pStyle w:val="TableContents"/>
              <w:bidi w:val="0"/>
              <w:spacing w:before="0" w:after="240"/>
              <w:jc w:val="left"/>
              <w:rPr>
                <w:rFonts w:ascii="Times New Roman" w:hAnsi="Times New Roman"/>
                <w:i/>
                <w:color w:val="000000"/>
                <w:sz w:val="20"/>
                <w:u w:val="single"/>
              </w:rPr>
            </w:pPr>
            <w:r>
              <w:rPr>
                <w:rFonts w:ascii="Times New Roman" w:hAnsi="Times New Roman"/>
                <w:i/>
                <w:color w:val="000000"/>
                <w:sz w:val="20"/>
                <w:u w:val="single"/>
              </w:rPr>
              <w:t>/s/ Alfredo Masuello</w:t>
            </w:r>
          </w:p>
          <w:p>
            <w:pPr>
              <w:pStyle w:val="TableContents"/>
              <w:bidi w:val="0"/>
              <w:jc w:val="left"/>
              <w:rPr>
                <w:rFonts w:ascii="Times New Roman" w:hAnsi="Times New Roman"/>
                <w:color w:val="000000"/>
                <w:sz w:val="20"/>
              </w:rPr>
            </w:pPr>
            <w:r>
              <w:rPr>
                <w:rFonts w:ascii="Times New Roman" w:hAnsi="Times New Roman"/>
                <w:color w:val="000000"/>
                <w:sz w:val="20"/>
              </w:rPr>
              <w:t xml:space="preserve">Signature: </w:t>
            </w:r>
          </w:p>
          <w:p>
            <w:pPr>
              <w:pStyle w:val="TableContents"/>
              <w:bidi w:val="0"/>
              <w:jc w:val="left"/>
              <w:rPr>
                <w:rFonts w:ascii="Times New Roman" w:hAnsi="Times New Roman"/>
                <w:color w:val="000000"/>
                <w:sz w:val="20"/>
              </w:rPr>
            </w:pPr>
            <w:r>
              <w:rPr>
                <w:rFonts w:ascii="Times New Roman" w:hAnsi="Times New Roman"/>
                <w:color w:val="000000"/>
                <w:sz w:val="20"/>
              </w:rPr>
              <w:t>Name: Alfredo Masuello</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Managing Director</w:t>
            </w:r>
          </w:p>
          <w:p>
            <w:pPr>
              <w:pStyle w:val="TableContents"/>
              <w:bidi w:val="0"/>
              <w:spacing w:before="0" w:after="283"/>
              <w:jc w:val="left"/>
              <w:rPr/>
            </w:pPr>
            <w:r>
              <w:rPr/>
              <w:t> </w:t>
            </w:r>
          </w:p>
        </w:tc>
        <w:tc>
          <w:tcPr>
            <w:tcW w:w="4051" w:type="dxa"/>
            <w:tcBorders/>
            <w:tcMar>
              <w:top w:w="0" w:type="dxa"/>
              <w:left w:w="0" w:type="dxa"/>
              <w:bottom w:w="0" w:type="dxa"/>
              <w:right w:w="0" w:type="dxa"/>
            </w:tcMar>
            <w:vAlign w:val="center"/>
          </w:tcPr>
          <w:p>
            <w:pPr>
              <w:pStyle w:val="TableContents"/>
              <w:bidi w:val="0"/>
              <w:spacing w:before="240" w:after="480"/>
              <w:jc w:val="left"/>
              <w:rPr>
                <w:rFonts w:ascii="Times New Roman" w:hAnsi="Times New Roman"/>
                <w:b/>
                <w:color w:val="000000"/>
                <w:sz w:val="20"/>
              </w:rPr>
            </w:pPr>
            <w:r>
              <w:rPr>
                <w:rFonts w:ascii="Times New Roman" w:hAnsi="Times New Roman"/>
                <w:b/>
                <w:color w:val="000000"/>
                <w:sz w:val="20"/>
              </w:rPr>
              <w:t>On behalf of ORPHAI THERAPEUTICS, INC.</w:t>
            </w:r>
          </w:p>
          <w:p>
            <w:pPr>
              <w:pStyle w:val="TableContents"/>
              <w:bidi w:val="0"/>
              <w:spacing w:before="0" w:after="240"/>
              <w:jc w:val="left"/>
              <w:rPr>
                <w:rFonts w:ascii="Times New Roman" w:hAnsi="Times New Roman"/>
                <w:i/>
                <w:color w:val="000000"/>
                <w:sz w:val="20"/>
                <w:u w:val="single"/>
              </w:rPr>
            </w:pPr>
            <w:r>
              <w:rPr>
                <w:rFonts w:ascii="Times New Roman" w:hAnsi="Times New Roman"/>
                <w:i/>
                <w:color w:val="000000"/>
                <w:sz w:val="20"/>
                <w:u w:val="single"/>
              </w:rPr>
              <w:t>/s/ Paul Boni</w:t>
            </w:r>
          </w:p>
          <w:p>
            <w:pPr>
              <w:pStyle w:val="TableContents"/>
              <w:bidi w:val="0"/>
              <w:jc w:val="left"/>
              <w:rPr>
                <w:rFonts w:ascii="Times New Roman" w:hAnsi="Times New Roman"/>
                <w:color w:val="000000"/>
                <w:sz w:val="20"/>
              </w:rPr>
            </w:pPr>
            <w:r>
              <w:rPr>
                <w:rFonts w:ascii="Times New Roman" w:hAnsi="Times New Roman"/>
                <w:color w:val="000000"/>
                <w:sz w:val="20"/>
              </w:rPr>
              <w:t xml:space="preserve">Signature: </w:t>
            </w:r>
          </w:p>
          <w:p>
            <w:pPr>
              <w:pStyle w:val="TableContents"/>
              <w:bidi w:val="0"/>
              <w:jc w:val="left"/>
              <w:rPr>
                <w:rFonts w:ascii="Times New Roman" w:hAnsi="Times New Roman"/>
                <w:color w:val="000000"/>
                <w:sz w:val="20"/>
              </w:rPr>
            </w:pPr>
            <w:r>
              <w:rPr>
                <w:rFonts w:ascii="Times New Roman" w:hAnsi="Times New Roman"/>
                <w:color w:val="000000"/>
                <w:sz w:val="20"/>
              </w:rPr>
              <w:t xml:space="preserve">Name: Paul Boni </w:t>
            </w:r>
          </w:p>
          <w:p>
            <w:pPr>
              <w:pStyle w:val="TableContents"/>
              <w:bidi w:val="0"/>
              <w:jc w:val="left"/>
              <w:rPr>
                <w:rFonts w:ascii="Times New Roman" w:hAnsi="Times New Roman"/>
                <w:color w:val="000000"/>
                <w:sz w:val="20"/>
              </w:rPr>
            </w:pPr>
            <w:r>
              <w:rPr>
                <w:rFonts w:ascii="Times New Roman" w:hAnsi="Times New Roman"/>
                <w:color w:val="000000"/>
                <w:sz w:val="20"/>
              </w:rPr>
              <w:t>Title: Chief Financial Officer</w:t>
            </w:r>
          </w:p>
          <w:p>
            <w:pPr>
              <w:pStyle w:val="TableContents"/>
              <w:bidi w:val="0"/>
              <w:spacing w:before="0" w:after="240"/>
              <w:jc w:val="left"/>
              <w:rPr/>
            </w:pPr>
            <w:r>
              <w:rPr/>
              <w:t> </w:t>
            </w:r>
          </w:p>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22</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u w:val="single"/>
        </w:rPr>
      </w:pPr>
      <w:r>
        <w:rPr>
          <w:rFonts w:ascii="Times New Roman" w:hAnsi="Times New Roman"/>
          <w:b/>
          <w:smallCaps/>
          <w:color w:val="000000"/>
          <w:sz w:val="20"/>
          <w:u w:val="single"/>
        </w:rPr>
        <w:t>Schedule 1</w:t>
      </w:r>
    </w:p>
    <w:p>
      <w:pPr>
        <w:pStyle w:val="TextBody"/>
        <w:bidi w:val="0"/>
        <w:spacing w:before="0" w:after="240"/>
        <w:jc w:val="center"/>
        <w:rPr>
          <w:rFonts w:ascii="Times New Roman" w:hAnsi="Times New Roman"/>
          <w:b/>
          <w:smallCaps/>
          <w:color w:val="000000"/>
          <w:sz w:val="20"/>
          <w:u w:val="single"/>
        </w:rPr>
      </w:pPr>
      <w:r>
        <w:rPr>
          <w:rFonts w:ascii="Times New Roman" w:hAnsi="Times New Roman"/>
          <w:b/>
          <w:smallCaps/>
          <w:color w:val="000000"/>
          <w:sz w:val="20"/>
          <w:u w:val="single"/>
        </w:rPr>
        <w:t>Product &amp; Specifications</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23</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u w:val="single"/>
        </w:rPr>
      </w:pPr>
      <w:r>
        <w:rPr>
          <w:rFonts w:ascii="Times New Roman" w:hAnsi="Times New Roman"/>
          <w:b/>
          <w:smallCaps/>
          <w:color w:val="000000"/>
          <w:sz w:val="20"/>
          <w:u w:val="single"/>
        </w:rPr>
        <w:t>Schedule 1-a</w:t>
      </w:r>
    </w:p>
    <w:p>
      <w:pPr>
        <w:pStyle w:val="TextBody"/>
        <w:bidi w:val="0"/>
        <w:spacing w:before="0" w:after="240"/>
        <w:jc w:val="center"/>
        <w:rPr>
          <w:rFonts w:ascii="Times New Roman" w:hAnsi="Times New Roman"/>
          <w:b/>
          <w:smallCaps/>
          <w:color w:val="000000"/>
          <w:sz w:val="20"/>
          <w:u w:val="single"/>
        </w:rPr>
      </w:pPr>
      <w:r>
        <w:rPr>
          <w:rFonts w:ascii="Times New Roman" w:hAnsi="Times New Roman"/>
          <w:b/>
          <w:smallCaps/>
          <w:color w:val="000000"/>
          <w:sz w:val="20"/>
          <w:u w:val="single"/>
        </w:rPr>
        <w:t>Regulatory Overview – non-binding</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24</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u w:val="single"/>
        </w:rPr>
      </w:pPr>
      <w:r>
        <w:rPr>
          <w:rFonts w:ascii="Times New Roman" w:hAnsi="Times New Roman"/>
          <w:b/>
          <w:smallCaps/>
          <w:color w:val="000000"/>
          <w:sz w:val="20"/>
          <w:u w:val="single"/>
        </w:rPr>
        <w:t>Schedule 2</w:t>
      </w:r>
    </w:p>
    <w:p>
      <w:pPr>
        <w:pStyle w:val="TextBody"/>
        <w:bidi w:val="0"/>
        <w:spacing w:before="0" w:after="240"/>
        <w:jc w:val="center"/>
        <w:rPr>
          <w:rFonts w:ascii="Times New Roman" w:hAnsi="Times New Roman"/>
          <w:b/>
          <w:smallCaps/>
          <w:color w:val="000000"/>
          <w:sz w:val="20"/>
          <w:u w:val="single"/>
        </w:rPr>
      </w:pPr>
      <w:r>
        <w:rPr>
          <w:rFonts w:ascii="Times New Roman" w:hAnsi="Times New Roman"/>
          <w:b/>
          <w:smallCaps/>
          <w:color w:val="000000"/>
          <w:sz w:val="20"/>
          <w:u w:val="single"/>
        </w:rPr>
        <w:t>Exclusivity &amp; Indication-Specific Restrictions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25</w:t>
      </w:r>
      <w:r>
        <w:rPr>
          <w:rFonts w:ascii="Times New Roman" w:hAnsi="Times New Roman"/>
          <w:color w:val="000000"/>
          <w:sz w:val="20"/>
        </w:rPr>
        <w:t xml:space="preserve"> of </w:t>
      </w:r>
      <w:r>
        <w:rPr>
          <w:rFonts w:ascii="Times New Roman" w:hAnsi="Times New Roman"/>
          <w:b/>
          <w:color w:val="000000"/>
          <w:sz w:val="20"/>
        </w:rPr>
        <w:t>NUMPAGES \* Arabic \* MERGEFORMAT 32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center"/>
        <w:rPr>
          <w:rFonts w:ascii="Times New Roman" w:hAnsi="Times New Roman"/>
          <w:b/>
          <w:smallCaps/>
          <w:color w:val="1F497D"/>
          <w:sz w:val="20"/>
          <w:u w:val="single"/>
        </w:rPr>
      </w:pPr>
      <w:r>
        <w:rPr>
          <w:rFonts w:ascii="Times New Roman" w:hAnsi="Times New Roman"/>
          <w:b/>
          <w:smallCaps/>
          <w:color w:val="1F497D"/>
          <w:sz w:val="20"/>
          <w:u w:val="single"/>
        </w:rPr>
        <w:t>SCHEDULE 3</w:t>
      </w:r>
    </w:p>
    <w:p>
      <w:pPr>
        <w:pStyle w:val="TextBody"/>
        <w:bidi w:val="0"/>
        <w:spacing w:before="0" w:after="240"/>
        <w:jc w:val="center"/>
        <w:rPr>
          <w:rFonts w:ascii="Times New Roman" w:hAnsi="Times New Roman"/>
          <w:b/>
          <w:smallCaps/>
          <w:color w:val="1F497D"/>
          <w:sz w:val="20"/>
          <w:u w:val="single"/>
        </w:rPr>
      </w:pPr>
      <w:r>
        <w:rPr>
          <w:rFonts w:ascii="Times New Roman" w:hAnsi="Times New Roman"/>
          <w:b/>
          <w:smallCaps/>
          <w:color w:val="1F497D"/>
          <w:sz w:val="20"/>
          <w:u w:val="single"/>
        </w:rPr>
        <w:t>PRICE – PRICE ADJUSTMENT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spacing w:before="0" w:after="240"/>
        <w:jc w:val="center"/>
        <w:rPr>
          <w:rFonts w:ascii="Times New Roman" w:hAnsi="Times New Roman"/>
          <w:b/>
          <w:smallCaps/>
          <w:color w:val="1F497D"/>
          <w:sz w:val="20"/>
          <w:u w:val="single"/>
        </w:rPr>
      </w:pPr>
      <w:r>
        <w:rPr>
          <w:rFonts w:ascii="Times New Roman" w:hAnsi="Times New Roman"/>
          <w:b/>
          <w:smallCaps/>
          <w:color w:val="1F497D"/>
          <w:sz w:val="20"/>
          <w:u w:val="single"/>
        </w:rPr>
        <w:t>SCHEDULE 4</w:t>
      </w:r>
    </w:p>
    <w:p>
      <w:pPr>
        <w:pStyle w:val="TextBody"/>
        <w:bidi w:val="0"/>
        <w:spacing w:before="0" w:after="240"/>
        <w:jc w:val="center"/>
        <w:rPr>
          <w:rFonts w:ascii="Times New Roman" w:hAnsi="Times New Roman"/>
          <w:b/>
          <w:smallCaps/>
          <w:color w:val="1F497D"/>
          <w:sz w:val="20"/>
          <w:u w:val="single"/>
        </w:rPr>
      </w:pPr>
      <w:r>
        <w:rPr>
          <w:rFonts w:ascii="Times New Roman" w:hAnsi="Times New Roman"/>
          <w:b/>
          <w:smallCaps/>
          <w:color w:val="1F497D"/>
          <w:sz w:val="20"/>
          <w:u w:val="single"/>
        </w:rPr>
        <w:t>OTHER COMMERCIAL AND OPERATIONAL TERMS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qncx-ex31_1.htm"/>
      <w:bookmarkStart w:id="33" w:name="ksqncxex31_1"/>
      <w:bookmarkEnd w:id="32"/>
      <w:bookmarkEnd w:id="33"/>
      <w:r>
        <w:rPr/>
        <w:t> </w:t>
      </w:r>
      <w:r>
        <w:br w:type="page"/>
      </w:r>
    </w:p>
    <w:p>
      <w:pPr>
        <w:pStyle w:val="TextBody"/>
        <w:bidi w:val="0"/>
        <w:jc w:val="right"/>
        <w:rPr>
          <w:rFonts w:ascii="Times New Roman" w:hAnsi="Times New Roman"/>
          <w:b/>
          <w:color w:val="000000"/>
          <w:sz w:val="20"/>
        </w:rPr>
      </w:pPr>
      <w:bookmarkStart w:id="34" w:name="section1"/>
      <w:bookmarkEnd w:id="34"/>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Dirk Thye,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Quince Therapeutics, Inc. for the quarter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40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40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182" w:type="dxa"/>
        <w:jc w:val="left"/>
        <w:tblInd w:w="0" w:type="dxa"/>
        <w:tblLayout w:type="fixed"/>
        <w:tblCellMar>
          <w:top w:w="28" w:type="dxa"/>
          <w:left w:w="28" w:type="dxa"/>
          <w:bottom w:w="28" w:type="dxa"/>
          <w:right w:w="28" w:type="dxa"/>
        </w:tblCellMar>
      </w:tblPr>
      <w:tblGrid>
        <w:gridCol w:w="1951"/>
        <w:gridCol w:w="4231"/>
      </w:tblGrid>
      <w:tr>
        <w:trPr/>
        <w:tc>
          <w:tcPr>
            <w:tcW w:w="1951"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Date: August 14, 2026</w:t>
            </w:r>
          </w:p>
        </w:tc>
        <w:tc>
          <w:tcPr>
            <w:tcW w:w="42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Dirk Thye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45" w:after="20"/>
              <w:jc w:val="center"/>
              <w:rPr>
                <w:rFonts w:ascii="Times New Roman" w:hAnsi="Times New Roman"/>
                <w:color w:val="000000"/>
                <w:sz w:val="20"/>
              </w:rPr>
            </w:pPr>
            <w:r>
              <w:rPr>
                <w:rFonts w:ascii="Times New Roman" w:hAnsi="Times New Roman"/>
                <w:color w:val="000000"/>
                <w:sz w:val="20"/>
              </w:rPr>
              <w:t>Dirk Thye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65" w:after="283"/>
              <w:jc w:val="center"/>
              <w:rPr>
                <w:rFonts w:ascii="Times New Roman" w:hAnsi="Times New Roman"/>
                <w:color w:val="000000"/>
                <w:sz w:val="20"/>
              </w:rPr>
            </w:pPr>
            <w:r>
              <w:rPr>
                <w:rFonts w:ascii="Times New Roman" w:hAnsi="Times New Roman"/>
                <w:color w:val="000000"/>
                <w:sz w:val="20"/>
              </w:rPr>
              <w:t>Chief Executive Officer and Chief Medical Officer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qncx-ex31_2.htm"/>
      <w:bookmarkStart w:id="36" w:name="ksqncxex31_2"/>
      <w:bookmarkEnd w:id="35"/>
      <w:bookmarkEnd w:id="36"/>
      <w:r>
        <w:rPr/>
        <w:t> </w:t>
      </w:r>
      <w:r>
        <w:br w:type="page"/>
      </w:r>
    </w:p>
    <w:p>
      <w:pPr>
        <w:pStyle w:val="TextBody"/>
        <w:bidi w:val="0"/>
        <w:jc w:val="right"/>
        <w:rPr>
          <w:rFonts w:ascii="Times New Roman" w:hAnsi="Times New Roman"/>
          <w:b/>
          <w:color w:val="000000"/>
          <w:sz w:val="20"/>
        </w:rPr>
      </w:pPr>
      <w:bookmarkStart w:id="37" w:name="section11"/>
      <w:bookmarkEnd w:id="37"/>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Brendan Hannah,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Quince Therapeutics, Inc. for the quarter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40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40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8432" w:type="dxa"/>
        <w:jc w:val="left"/>
        <w:tblInd w:w="0" w:type="dxa"/>
        <w:tblLayout w:type="fixed"/>
        <w:tblCellMar>
          <w:top w:w="28" w:type="dxa"/>
          <w:left w:w="28" w:type="dxa"/>
          <w:bottom w:w="28" w:type="dxa"/>
          <w:right w:w="28" w:type="dxa"/>
        </w:tblCellMar>
      </w:tblPr>
      <w:tblGrid>
        <w:gridCol w:w="1951"/>
        <w:gridCol w:w="6481"/>
      </w:tblGrid>
      <w:tr>
        <w:trPr/>
        <w:tc>
          <w:tcPr>
            <w:tcW w:w="1951" w:type="dxa"/>
            <w:tcBorders/>
            <w:vAlign w:val="center"/>
          </w:tcPr>
          <w:p>
            <w:pPr>
              <w:pStyle w:val="TableContents"/>
              <w:bidi w:val="0"/>
              <w:spacing w:before="0" w:after="283"/>
              <w:jc w:val="left"/>
              <w:rPr>
                <w:sz w:val="4"/>
                <w:szCs w:val="4"/>
              </w:rPr>
            </w:pPr>
            <w:r>
              <w:rPr>
                <w:sz w:val="4"/>
                <w:szCs w:val="4"/>
              </w:rPr>
            </w:r>
          </w:p>
        </w:tc>
        <w:tc>
          <w:tcPr>
            <w:tcW w:w="648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Date: August 14, 2026</w:t>
            </w:r>
          </w:p>
        </w:tc>
        <w:tc>
          <w:tcPr>
            <w:tcW w:w="64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Brendan Hannah</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tcBorders/>
            <w:tcMar>
              <w:top w:w="0" w:type="dxa"/>
              <w:left w:w="0" w:type="dxa"/>
              <w:bottom w:w="0" w:type="dxa"/>
              <w:right w:w="0" w:type="dxa"/>
            </w:tcMar>
            <w:vAlign w:val="center"/>
          </w:tcPr>
          <w:p>
            <w:pPr>
              <w:pStyle w:val="TableContents"/>
              <w:bidi w:val="0"/>
              <w:spacing w:before="45" w:after="20"/>
              <w:jc w:val="center"/>
              <w:rPr>
                <w:rFonts w:ascii="Times New Roman" w:hAnsi="Times New Roman"/>
                <w:color w:val="000000"/>
                <w:sz w:val="20"/>
              </w:rPr>
            </w:pPr>
            <w:r>
              <w:rPr>
                <w:rFonts w:ascii="Times New Roman" w:hAnsi="Times New Roman"/>
                <w:color w:val="000000"/>
                <w:sz w:val="20"/>
              </w:rPr>
              <w:t>Brendan Hannah</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tcBorders/>
            <w:tcMar>
              <w:top w:w="0" w:type="dxa"/>
              <w:left w:w="0" w:type="dxa"/>
              <w:bottom w:w="0" w:type="dxa"/>
              <w:right w:w="0" w:type="dxa"/>
            </w:tcMar>
            <w:vAlign w:val="center"/>
          </w:tcPr>
          <w:p>
            <w:pPr>
              <w:pStyle w:val="TableContents"/>
              <w:bidi w:val="0"/>
              <w:spacing w:before="65" w:after="283"/>
              <w:jc w:val="center"/>
              <w:rPr>
                <w:rFonts w:ascii="Times New Roman" w:hAnsi="Times New Roman"/>
                <w:color w:val="000000"/>
                <w:sz w:val="20"/>
              </w:rPr>
            </w:pPr>
            <w:r>
              <w:rPr>
                <w:rFonts w:ascii="Times New Roman" w:hAnsi="Times New Roman"/>
                <w:color w:val="000000"/>
                <w:sz w:val="20"/>
              </w:rPr>
              <w:t>Chief Business Officer, Chief Operating Officer, and Chief Compliance Officer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qncx-ex32_1.htm"/>
      <w:bookmarkStart w:id="39" w:name="ksqncxex32_1"/>
      <w:bookmarkEnd w:id="38"/>
      <w:bookmarkEnd w:id="39"/>
      <w:r>
        <w:rPr/>
        <w:t> </w:t>
      </w:r>
      <w:r>
        <w:br w:type="page"/>
      </w:r>
    </w:p>
    <w:p>
      <w:pPr>
        <w:pStyle w:val="TextBody"/>
        <w:bidi w:val="0"/>
        <w:jc w:val="right"/>
        <w:rPr>
          <w:rFonts w:ascii="Times New Roman" w:hAnsi="Times New Roman"/>
          <w:b/>
          <w:color w:val="000000"/>
          <w:sz w:val="20"/>
        </w:rPr>
      </w:pPr>
      <w:bookmarkStart w:id="40" w:name="section12"/>
      <w:bookmarkEnd w:id="40"/>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906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 (18 U.S.C. SECTION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Quince Therapeutics, Inc. (the “Company”) on Form 10-Q for the quarter ended June 30, 2026 as filed with the Securities and Exchange Commission on the date hereof to which this Certification is attached as Exhibit 32.1 (the “Report”), I certify, pursuant to Rule 13a-149b) of the Securities Exchange Act of 1934, as amended (the “Exchange Act”), and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Exchange Act; and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6588" w:type="dxa"/>
        <w:jc w:val="left"/>
        <w:tblInd w:w="0" w:type="dxa"/>
        <w:tblLayout w:type="fixed"/>
        <w:tblCellMar>
          <w:top w:w="28" w:type="dxa"/>
          <w:left w:w="28" w:type="dxa"/>
          <w:bottom w:w="28" w:type="dxa"/>
          <w:right w:w="28" w:type="dxa"/>
        </w:tblCellMar>
      </w:tblPr>
      <w:tblGrid>
        <w:gridCol w:w="1951"/>
        <w:gridCol w:w="406"/>
        <w:gridCol w:w="423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Date: August 14, 2026</w:t>
            </w:r>
          </w:p>
        </w:tc>
        <w:tc>
          <w:tcPr>
            <w:tcW w:w="406" w:type="dxa"/>
            <w:tcBorders/>
            <w:shd w:fill="FFFFFF" w:val="clear"/>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By:</w:t>
            </w:r>
          </w:p>
        </w:tc>
        <w:tc>
          <w:tcPr>
            <w:tcW w:w="42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Dirk Thye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shd w:fill="FFFFFF" w:val="clear"/>
            <w:tcMar>
              <w:top w:w="0" w:type="dxa"/>
              <w:left w:w="0" w:type="dxa"/>
              <w:bottom w:w="0" w:type="dxa"/>
              <w:right w:w="0" w:type="dxa"/>
            </w:tcMar>
            <w:vAlign w:val="center"/>
          </w:tcPr>
          <w:p>
            <w:pPr>
              <w:pStyle w:val="TableContents"/>
              <w:bidi w:val="0"/>
              <w:spacing w:before="45" w:after="20"/>
              <w:jc w:val="center"/>
              <w:rPr>
                <w:rFonts w:ascii="Times New Roman" w:hAnsi="Times New Roman"/>
                <w:color w:val="000000"/>
                <w:sz w:val="20"/>
              </w:rPr>
            </w:pPr>
            <w:r>
              <w:rPr>
                <w:rFonts w:ascii="Times New Roman" w:hAnsi="Times New Roman"/>
                <w:color w:val="000000"/>
                <w:sz w:val="20"/>
              </w:rPr>
              <w:t>Dirk Thye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shd w:fill="FFFFFF" w:val="clear"/>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20"/>
              </w:rPr>
            </w:pPr>
            <w:r>
              <w:rPr>
                <w:rFonts w:ascii="Times New Roman" w:hAnsi="Times New Roman"/>
                <w:color w:val="000000"/>
                <w:sz w:val="20"/>
              </w:rPr>
              <w:t>Chief Executive Officer and Chief Medical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shd w:fill="FFFFFF" w:val="clear"/>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qncx-ex32_2.htm"/>
      <w:bookmarkStart w:id="42" w:name="ksqncxex32_2"/>
      <w:bookmarkEnd w:id="41"/>
      <w:bookmarkEnd w:id="42"/>
      <w:r>
        <w:rPr/>
        <w:t> </w:t>
      </w:r>
      <w:r>
        <w:br w:type="page"/>
      </w:r>
    </w:p>
    <w:p>
      <w:pPr>
        <w:pStyle w:val="TextBody"/>
        <w:bidi w:val="0"/>
        <w:jc w:val="right"/>
        <w:rPr>
          <w:rFonts w:ascii="Times New Roman" w:hAnsi="Times New Roman"/>
          <w:b/>
          <w:color w:val="000000"/>
          <w:sz w:val="20"/>
        </w:rPr>
      </w:pPr>
      <w:bookmarkStart w:id="43" w:name="section13"/>
      <w:bookmarkEnd w:id="43"/>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906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 (18 U.S.C. SECTION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Quince Therapeutics, Inc. (the “Company”) on Form 10-Q for the quarter ended June 30, 2026 as filed with the Securities and Exchange Commission on the date hereof to which this Certification is attached as Exhibit 32.2 (the “Report”), I certify, pursuant to Rule 13a-149b) of the Securities Exchange Act of 1934, as amended (the “Exchange Act”), and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Exchange Act; and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8838" w:type="dxa"/>
        <w:jc w:val="left"/>
        <w:tblInd w:w="0" w:type="dxa"/>
        <w:tblLayout w:type="fixed"/>
        <w:tblCellMar>
          <w:top w:w="28" w:type="dxa"/>
          <w:left w:w="28" w:type="dxa"/>
          <w:bottom w:w="28" w:type="dxa"/>
          <w:right w:w="28" w:type="dxa"/>
        </w:tblCellMar>
      </w:tblPr>
      <w:tblGrid>
        <w:gridCol w:w="1951"/>
        <w:gridCol w:w="406"/>
        <w:gridCol w:w="648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Date: August 14, 2026</w:t>
            </w:r>
          </w:p>
        </w:tc>
        <w:tc>
          <w:tcPr>
            <w:tcW w:w="406" w:type="dxa"/>
            <w:tcBorders/>
            <w:shd w:fill="FFFFFF" w:val="clear"/>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By:</w:t>
            </w:r>
          </w:p>
        </w:tc>
        <w:tc>
          <w:tcPr>
            <w:tcW w:w="64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Brendan Hannah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tcBorders/>
            <w:shd w:fill="FFFFFF" w:val="clear"/>
            <w:tcMar>
              <w:top w:w="0" w:type="dxa"/>
              <w:left w:w="0" w:type="dxa"/>
              <w:bottom w:w="0" w:type="dxa"/>
              <w:right w:w="0" w:type="dxa"/>
            </w:tcMar>
            <w:vAlign w:val="center"/>
          </w:tcPr>
          <w:p>
            <w:pPr>
              <w:pStyle w:val="TableContents"/>
              <w:bidi w:val="0"/>
              <w:spacing w:before="45" w:after="20"/>
              <w:jc w:val="center"/>
              <w:rPr>
                <w:rFonts w:ascii="Times New Roman" w:hAnsi="Times New Roman"/>
                <w:color w:val="000000"/>
                <w:sz w:val="20"/>
              </w:rPr>
            </w:pPr>
            <w:r>
              <w:rPr>
                <w:rFonts w:ascii="Times New Roman" w:hAnsi="Times New Roman"/>
                <w:color w:val="000000"/>
                <w:sz w:val="20"/>
              </w:rPr>
              <w:t>Brendan Hannah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tcBorders/>
            <w:shd w:fill="FFFFFF" w:val="clear"/>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20"/>
              </w:rPr>
            </w:pPr>
            <w:r>
              <w:rPr>
                <w:rFonts w:ascii="Times New Roman" w:hAnsi="Times New Roman"/>
                <w:color w:val="000000"/>
                <w:sz w:val="20"/>
              </w:rPr>
              <w:t>Chief Business Officer, Chief Operating Officer, and Chief Compliance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tcBorders/>
            <w:shd w:fill="FFFFFF" w:val="clear"/>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2774/000119312526228133/d109149dex21.htm" TargetMode="External"/><Relationship Id="rId3" Type="http://schemas.openxmlformats.org/officeDocument/2006/relationships/hyperlink" Target="https://www.sec.gov/Archives/edgar/data/1662774/000119312519145468/d747357dex31.htm" TargetMode="External"/><Relationship Id="rId4" Type="http://schemas.openxmlformats.org/officeDocument/2006/relationships/hyperlink" Target="https://www.sec.gov/Archives/edgar/data/1662774/000119312522207867/d346512dex31.htm" TargetMode="External"/><Relationship Id="rId5" Type="http://schemas.openxmlformats.org/officeDocument/2006/relationships/hyperlink" Target="https://www.sec.gov/Archives/edgar/data/1662774/000119312526149021/d115661dex31.htm" TargetMode="External"/><Relationship Id="rId6" Type="http://schemas.openxmlformats.org/officeDocument/2006/relationships/hyperlink" Target="https://www.sec.gov/Archives/edgar/data/1662774/000119312526284089/d168420dex31.htm" TargetMode="External"/><Relationship Id="rId7" Type="http://schemas.openxmlformats.org/officeDocument/2006/relationships/hyperlink" Target="https://www.sec.gov/Archives/edgar/data/1662774/000119312526284089/d168420dex31.htm" TargetMode="External"/><Relationship Id="rId8" Type="http://schemas.openxmlformats.org/officeDocument/2006/relationships/hyperlink" Target="https://www.sec.gov/Archives/edgar/data/1662774/000119312522207867/d346512dex32.htm" TargetMode="External"/><Relationship Id="rId9" Type="http://schemas.openxmlformats.org/officeDocument/2006/relationships/hyperlink" Target="https://www.sec.gov/Archives/edgar/data/1662774/000119312526151364/qncx-ex3_4.htm" TargetMode="External"/><Relationship Id="rId10" Type="http://schemas.openxmlformats.org/officeDocument/2006/relationships/hyperlink" Target="https://www.sec.gov/Archives/edgar/data/1662774/000119312526228133/d109149dex31.htm" TargetMode="External"/><Relationship Id="rId11" Type="http://schemas.openxmlformats.org/officeDocument/2006/relationships/hyperlink" Target="https://www.sec.gov/Archives/edgar/data/1662774/000119312526228133/d109149dex41.htm" TargetMode="External"/><Relationship Id="rId12" Type="http://schemas.openxmlformats.org/officeDocument/2006/relationships/hyperlink" Target="https://www.sec.gov/Archives/edgar/data/1662774/000119312526228133/d109149dex101.htm" TargetMode="External"/><Relationship Id="rId13" Type="http://schemas.openxmlformats.org/officeDocument/2006/relationships/hyperlink" Target="https://www.sec.gov/Archives/edgar/data/1662774/000119312526228133/d109149dex102.htm" TargetMode="External"/><Relationship Id="rId14" Type="http://schemas.openxmlformats.org/officeDocument/2006/relationships/hyperlink" Target="https://www.sec.gov/Archives/edgar/data/1662774/000119312526228133/d109149dex103.htm" TargetMode="External"/><Relationship Id="rId15" Type="http://schemas.openxmlformats.org/officeDocument/2006/relationships/hyperlink" Target="https://www.sec.gov/Archives/edgar/data/1662774/000119312526228133/d109149dex104.htm" TargetMode="External"/><Relationship Id="rId16" Type="http://schemas.openxmlformats.org/officeDocument/2006/relationships/hyperlink" Target="https://www.sec.gov/Archives/edgar/data/1662774/000119312526228133/d109149dex105.htm" TargetMode="External"/><Relationship Id="rId17" Type="http://schemas.openxmlformats.org/officeDocument/2006/relationships/hyperlink" Target="https://www.sec.gov/Archives/edgar/data/1662774/000119312526228133/d109149dex106.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87109</Words>
  <Characters>488111</Characters>
  <CharactersWithSpaces>576139</CharactersWithSpaces>
  <Paragraphs>9643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