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6981ddef14a.htm"/>
        <w:bookmarkStart w:id="1" w:name="ksd46981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3390" cy="9321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93390" cy="9321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Quince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a Special Meeting of Stockholders of Quince Therapeutics, Inc. (“Quince,” the “Company,” “we,” “our” or “us”), which will be held on Tuesday, October 6, 2026 at 11:00 a.m. Eastern Time (the “Special Meeting”), unless postponed or adjourned to a later date. To facilitate stockholder participation in the Special Meeting, the Special Meeting will be held through a live webcast at https://edge.media-server.com/mmc/p/yb6vakam. You will not be able to attend the meeting in person. The record date for the Special Meeting is August 24, 2026. Only stockholders of record at the close of business on that date are entitled to notice of and to vote at the Special Meeting or any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the Company acquired Orphai Holdings Therapeutics, Inc., a Delaware corporation (“Orphai HoldCo”) and Orphai Therapeutics, LLC, a Delaware limited liability company and wholly owned subsidiary of Orphai HoldCo (“Orphai Subsidiary” and, together with Orphai HoldCo, “Orphai” or “Orphai Therapeutics”), in accordance with the terms of the Agreement and Plan of Merger, dated May 17, 2026 (the “Merger Agreement”), by and among the Company, Phoenix Merger Sub I, Inc., a Delaware corporation and a wholly owned subsidiary of the Company (“First Merger Sub”), Phoenix Merger Sub II, LLC, a Delaware limited liability company and wholly owned subsidiary of the Company (“Second Merger Sub”), Orphai HoldCo and Orphai Subsidiary. Pursuant to the Merger Agreement, First Merger Sub merged with and into Orphai HoldCo, pursuant to which Orphai HoldCo was the surviving corporation and became a wholly owned subsidiary of the Company (the “First Merger”). Immediately following the First Merger, Orphai HoldCo merged with and into Second Merger Sub, pursuant to which Second Merger Sub was the surviving entity (together with the First Merger,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following the closing of the Acquisition (the “Closing”), (i) the Company issued to the stockholders of Orphai HoldCo: (a) an aggregate of 162,971 shares of common stock, par value $0.001 per share of the Company (“common stock”) (after giving effect to a 1-for-20 reverse stock split, which occurred on June 29, 2026 (the “Reverse Stock Split”)) and (b) an aggregate of 67,101.235 shares of Series C Non-Voting Convertible Preferred Stock, par value $0.001 per share (the “Series C Preferred Stock”) (as described below), each share of which is convertible into 52 shares of common stock (after giving effect to the adjustment to the conversion ratio as a result of the Reverse Stock Split and representing 3,489,281 shares on an as-converted-to-common basis and without giving effect to any beneficial ownership limitations), subject to certain conditions described below, (ii) all outstanding warrants to purchase shares of Orphai HoldCo capital stock were cancelled and exchanged, in accordance with the terms of such warrants, for PIPE Warrants (as defined below) to purchase an aggregate of 10,964.505 shares of Series C Preferred Stock (representing an aggregate of 570,169 shares of common stock on an as-converted-to-common basis, after giving effect to the Reverse Stock Split and without giving effect to any beneficial ownership limitations) at an exercise price of $996.90 per share of Series C Preferred Stock, for up to approximately $10.9 million in proceeds to the Company upon exercise thereof (the “Acquisition Warrants”) and (iii) all outstanding options to purchase Orphai Subsidiary common stock (the “Orphai Options”) were assumed by the Company and converted into options to purchase an aggregate of 1,308,804 shares of common stock (after giving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Acquisition, on May 18, 2026, the Company entered into a Securities Purchase Agreement (the “Purchase Agreement”) with the purchasers named therein (the “Investors”), pursuant to which, on May 21, 2026 (the “PIPE Closing”), the Company issued and sold (i) an aggregate of 144,200.633 shares of Series C Preferred Stock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“PIPE Preferred Shares”) (representing 7,498,447 shares of common stock on an as-converted-to-common basis, after giving effect to the Reverse Stock Split and without giving effect to any beneficial ownership limitations) and (ii) warrants (the “PIPE Warrants” and, together with the Acquisition Warrants, the “Warrants”) to purchase 72,100.322 shares of Series C Preferred Stock (together with the PIPE Preferred Shares, the “PIPE Securities”) (representing 3,749,231 shares of common stock on an as-converted-to-common basis, after giving effect to the Reverse Stock Split and without giving effect to any beneficial ownership limitations) at an exercise price of $996.90 per share of Series C Preferred Stock, for an aggregate upfront cash purchase price of approximately $115 million, with up to an additional approximately $72 million upon exercise of the PIPE Warrants (such transaction, the “2026 Private Placement” and, together with the Acquisition and the other transactions and actions contemplated by the Merger Agreement, the “Acquisition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receipt of stockholder approval of Proposals No. 1 through No. 3 (the “Required Company Stockholder Matters”), each outstanding share of Series C Preferred Stock will automatically convert into 52 shares of common stock, subject to certain beneficial ownership limitations established by each holder. As a result of the transactions, immediately following the PIPE Closing, equityholders of the Company immediately prior to the acquisition owned approximately 6.9% of the common stock, equityholders of Orphai Therapeutics immediately prior to the acquisition owned approximately 31.9% of the common stock and the Investors in the 2026 Private Placement owned approximately 61.2% of the common stock, in each case, calculated on a fully-diluted, as-converted-to-common basis (and without giving effect to any beneficial ownership limitations) using the treasury stock method and based on the implied equity values of the Company and Orphai Therapeutics.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we will ask our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1.</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(the “Conversion Proposal” or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our common stock, upon conversion of the PIPE Preferred Shares and upon exercise of the PIPE Warrants pursuant to Nasdaq Listing Rule 5635(d) (the “Minimum Price Proposal” or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our certificate of incorporation to increase the number of authorized shares of our common stock from 250,000,000 to 275,000,000 (the “Authorized Share Proposal” or “Proposal No. 3”);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200"/>
        <w:gridCol w:w="74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2026 Equity Incentive Plan (the “2026 Plan Proposal” or “Proposal No. 4”);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200"/>
        <w:gridCol w:w="65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2026 ESPP (the “2026 ESPP Proposal” or “Proposal No. 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6.</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adjournment or postponement of the Special Meeting, if necessary, to continue to solicit votes for Proposals Nos. 1, 2 and/or 3 (the “Adjournment Proposal” or “Proposal No. 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 in connection with the execution of the Merger Agreement, the Company and Orphai Subsidiary entered into stockholder support agreements (the “Support Agreements”) with certain of the Company’s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owned by such stockholder in favor of Proposals Nos. 1, 2 and 3 at the Special Meeting, subject to and in accordance with the terms of the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the Board has unanimously determined to recommend that our stockholders vote “FOR” the Conversion Proposal, “FOR” the Minimum Price Proposal, “FOR” the Authorized Share Proposal, “FOR” the 2026 Plan Proposal, “FOR” the 2026 ESPP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Shares of our common stock are currently listed on The Nasdaq Global Select Market under the symbol “QNCX.” If the Required Company Stockholder Matters and the Nasdaq Listing Application (as defined in the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accompanying Proxy Statement) are approved, it is expected that we will change our name to “IRulya Therapeutics Inc.” and our common stock will trade on the Nasdaq Capital Market under the symbol “IRLA.” </w:t>
      </w:r>
    </w:p>
    <w:p>
      <w:pPr>
        <w:pStyle w:val="TextBody"/>
        <w:bidi w:val="0"/>
        <w:spacing w:before="240" w:after="0"/>
        <w:jc w:val="left"/>
        <w:rPr>
          <w:rFonts w:ascii="Times New Roman" w:hAnsi="Times New Roman"/>
          <w:sz w:val="20"/>
        </w:rPr>
      </w:pPr>
      <w:r>
        <w:rPr>
          <w:rFonts w:ascii="Times New Roman" w:hAnsi="Times New Roman"/>
          <w:sz w:val="20"/>
        </w:rPr>
        <w:t xml:space="preserve">More information about the Acquisition and the Required Company Stockholder Matters is contained in the accompanying Proxy Statement. We urge you to read the Proxy Statement carefully and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Whether or not you expect to attend the Special Meeting, please submit voting instructions for your shares promptly by using the directions on your proxy card, to vote by one of the following methods: (1) over the Internet before the Special Meeting at www.voteproxy.com and during the Special Meeting at https://edge.media-server.com/mmc/p/yb6vakam, (2) by telephone by calling the toll-free number 1-800-776-9437, or (3) by marking, dating, and signing your proxy card and returning it in the accompanying postage-paid envelope. Even if you have voted by proxy, you may still vote online if you attend the virtual Special Meeting. Please note, however, that if your shares are held of record by a broker, bank, or other nominee and you wish to vote online at the Special Meeting, you must obtain a proxy issued in your name from that record holder. </w:t>
      </w:r>
    </w:p>
    <w:p>
      <w:pPr>
        <w:pStyle w:val="TextBody"/>
        <w:bidi w:val="0"/>
        <w:spacing w:before="240" w:after="0"/>
        <w:jc w:val="left"/>
        <w:rPr>
          <w:rFonts w:ascii="Times New Roman" w:hAnsi="Times New Roman"/>
          <w:sz w:val="20"/>
        </w:rPr>
      </w:pPr>
      <w:r>
        <w:rPr>
          <w:rFonts w:ascii="Times New Roman" w:hAnsi="Times New Roman"/>
          <w:sz w:val="20"/>
        </w:rPr>
        <w:t xml:space="preserve">We thank you for your consideration and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Yours sincerely, </w:t>
      </w:r>
    </w:p>
    <w:p>
      <w:pPr>
        <w:pStyle w:val="TextBody"/>
        <w:bidi w:val="0"/>
        <w:spacing w:before="240" w:after="0"/>
        <w:jc w:val="left"/>
        <w:rPr>
          <w:rFonts w:ascii="Times New Roman" w:hAnsi="Times New Roman"/>
          <w:sz w:val="20"/>
        </w:rPr>
      </w:pPr>
      <w:r>
        <w:rPr>
          <w:rFonts w:ascii="Times New Roman" w:hAnsi="Times New Roman"/>
          <w:sz w:val="20"/>
        </w:rPr>
        <w:t xml:space="preserve">/s/ Dirk Thye </w:t>
      </w:r>
    </w:p>
    <w:p>
      <w:pPr>
        <w:pStyle w:val="TextBody"/>
        <w:bidi w:val="0"/>
        <w:spacing w:before="240" w:after="0"/>
        <w:jc w:val="left"/>
        <w:rPr>
          <w:rFonts w:ascii="Times New Roman" w:hAnsi="Times New Roman"/>
          <w:sz w:val="20"/>
        </w:rPr>
      </w:pPr>
      <w:r>
        <w:rPr>
          <w:rFonts w:ascii="Times New Roman" w:hAnsi="Times New Roman"/>
          <w:sz w:val="20"/>
        </w:rPr>
        <w:t xml:space="preserve">Dirk Thye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dated August 25, 2026 and is first being mailed to stockholders on or about August 26,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QUINCE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611 Gateway Boulevard, Suite 273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center"/>
        <w:rPr>
          <w:rFonts w:ascii="Times New Roman" w:hAnsi="Times New Roman"/>
          <w:sz w:val="24"/>
        </w:rPr>
      </w:pPr>
      <w:r>
        <w:rPr>
          <w:rFonts w:ascii="Times New Roman" w:hAnsi="Times New Roman"/>
          <w:sz w:val="24"/>
        </w:rPr>
        <w:t xml:space="preserve">NOTICE OF SPECIAL MEETING OF STOCKHOLDERS </w:t>
      </w:r>
    </w:p>
    <w:p>
      <w:pPr>
        <w:pStyle w:val="TextBody"/>
        <w:bidi w:val="0"/>
        <w:spacing w:before="240" w:after="0"/>
        <w:jc w:val="center"/>
        <w:rPr>
          <w:rFonts w:ascii="Times New Roman" w:hAnsi="Times New Roman"/>
          <w:sz w:val="20"/>
        </w:rPr>
      </w:pPr>
      <w:r>
        <w:rPr>
          <w:rFonts w:ascii="Times New Roman" w:hAnsi="Times New Roman"/>
          <w:sz w:val="20"/>
        </w:rPr>
        <w:t xml:space="preserve">To Be Held On October 6,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of stockholders of Quince Therapeutics, Inc. (the “Company”) will be held on Tuesday, October 6, 2026 at 11:00 a.m. Eastern Time (the “Special Meeting”). To facilitate stockholder participation in the Special Meeting, the Special Meeting will be held through a live webcast at https://edge.media-server.com/mmc/p/yb6vakam. You will not be able to attend the meeting in person. The meeting will be held for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approve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(the “Conversion Proposal” or “Proposal No. 1”); </w:t>
      </w:r>
    </w:p>
    <w:p>
      <w:pPr>
        <w:pStyle w:val="TextBody"/>
        <w:bidi w:val="0"/>
        <w:spacing w:before="120" w:after="0"/>
        <w:jc w:val="left"/>
        <w:rPr>
          <w:rFonts w:ascii="Times New Roman" w:hAnsi="Times New Roman"/>
          <w:sz w:val="20"/>
        </w:rPr>
      </w:pPr>
      <w:r>
        <w:rPr>
          <w:rFonts w:ascii="Times New Roman" w:hAnsi="Times New Roman"/>
          <w:sz w:val="20"/>
        </w:rPr>
        <w:t xml:space="preserve">2. To approve the issuance of shares of our common stock, upon conversion of the PIPE Preferred Shares and upon exercise of the PIPE Warrants pursuant to Nasdaq Listing Rule 5635(d) (the “Minimum Price Proposal” or “Proposal No. 2”); </w:t>
      </w:r>
    </w:p>
    <w:p>
      <w:pPr>
        <w:pStyle w:val="TextBody"/>
        <w:bidi w:val="0"/>
        <w:spacing w:before="120" w:after="0"/>
        <w:jc w:val="left"/>
        <w:rPr>
          <w:rFonts w:ascii="Times New Roman" w:hAnsi="Times New Roman"/>
          <w:sz w:val="20"/>
        </w:rPr>
      </w:pPr>
      <w:r>
        <w:rPr>
          <w:rFonts w:ascii="Times New Roman" w:hAnsi="Times New Roman"/>
          <w:sz w:val="20"/>
        </w:rPr>
        <w:t xml:space="preserve">3. To approve an amendment to our certificate of incorporation to increase the number of authorized shares of our common stock from 250,000,000 to 275,000,000 (the “Authorized Share Proposal” or “Proposal No. 3”); </w:t>
      </w:r>
    </w:p>
    <w:p>
      <w:pPr>
        <w:pStyle w:val="TextBody"/>
        <w:bidi w:val="0"/>
        <w:spacing w:before="120" w:after="0"/>
        <w:jc w:val="left"/>
        <w:rPr>
          <w:rFonts w:ascii="Times New Roman" w:hAnsi="Times New Roman"/>
          <w:sz w:val="20"/>
        </w:rPr>
      </w:pPr>
      <w:r>
        <w:rPr>
          <w:rFonts w:ascii="Times New Roman" w:hAnsi="Times New Roman"/>
          <w:sz w:val="20"/>
        </w:rPr>
        <w:t xml:space="preserve">4. To approve the 2026 Equity Incentive Plan (the “2026 Plan Proposal” or “Proposal No. 4”); </w:t>
      </w:r>
    </w:p>
    <w:p>
      <w:pPr>
        <w:pStyle w:val="TextBody"/>
        <w:bidi w:val="0"/>
        <w:spacing w:before="120" w:after="0"/>
        <w:jc w:val="left"/>
        <w:rPr>
          <w:rFonts w:ascii="Times New Roman" w:hAnsi="Times New Roman"/>
          <w:sz w:val="20"/>
        </w:rPr>
      </w:pPr>
      <w:r>
        <w:rPr>
          <w:rFonts w:ascii="Times New Roman" w:hAnsi="Times New Roman"/>
          <w:sz w:val="20"/>
        </w:rPr>
        <w:t xml:space="preserve">5. To approve the 2026 ESPP (the “2026 ESPP Proposal” or “Proposal No. 5”); and </w:t>
      </w:r>
    </w:p>
    <w:p>
      <w:pPr>
        <w:pStyle w:val="TextBody"/>
        <w:bidi w:val="0"/>
        <w:spacing w:before="120" w:after="0"/>
        <w:jc w:val="left"/>
        <w:rPr>
          <w:rFonts w:ascii="Times New Roman" w:hAnsi="Times New Roman"/>
          <w:sz w:val="20"/>
        </w:rPr>
      </w:pPr>
      <w:r>
        <w:rPr>
          <w:rFonts w:ascii="Times New Roman" w:hAnsi="Times New Roman"/>
          <w:sz w:val="20"/>
        </w:rPr>
        <w:t xml:space="preserve">6. To approve the adjournment or postponement of the Special Meeting, if necessary, to continue to solicit votes for Proposals Nos. 1, 2 and/or 3 (the “Adjournment Proposal” or “Proposal No. 6”). </w:t>
      </w:r>
    </w:p>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more fully described in the Proxy Statement accompanying this Notice. The Special Meeting will be held virtually through a live webcast. You will be able to attend the Special Meeting, submit questions and vote during the live webcast by visiting https://edge.media-server.com/mmc/p/yb6vakam and entering the Control Number included in your proxy card, voting instruction form, or in the instructions that you received via email. Please refer to the additional logistical details and recommendations in the accompanying Proxy Statement. You may log-in beginning at 10:45 a.m. Eastern Time, on Tuesday, October 6, 2026. The record date for the Special Meeting is August 24, 2026. Only stockholders of record at the close of business on that date are entitled to notice of and to vote at the meeting or any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Dirk Thye </w:t>
      </w:r>
    </w:p>
    <w:p>
      <w:pPr>
        <w:pStyle w:val="TextBody"/>
        <w:bidi w:val="0"/>
        <w:spacing w:before="24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25,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On or about August 26, 2026, we expect to mail to our stockholders the Proxy Statement and proxy card. </w:t>
      </w:r>
    </w:p>
    <w:p>
      <w:pPr>
        <w:pStyle w:val="TextBody"/>
        <w:bidi w:val="0"/>
        <w:spacing w:before="240" w:after="0"/>
        <w:jc w:val="left"/>
        <w:rPr>
          <w:rFonts w:ascii="Times New Roman" w:hAnsi="Times New Roman"/>
          <w:b/>
          <w:sz w:val="20"/>
        </w:rPr>
      </w:pPr>
      <w:r>
        <w:rPr>
          <w:rFonts w:ascii="Times New Roman" w:hAnsi="Times New Roman"/>
          <w:b/>
          <w:sz w:val="20"/>
        </w:rPr>
        <w:t xml:space="preserve">Whether or not you expect to attend the virtual Special Meeting, please submit voting instructions for your shares promptly using the directions on your proxy card, to vote by one of the following methods: (1) over the Internet before the Special Meeting at www.voteproxy.com and during the Special Meeting at https://edge.media-server.com/mmc/p/yb6vakam, (2) by telephone by calling the toll-free number 1-800-776-9437, or (3) by marking, dating, and signing your proxy card and returning it in the accompanying postage-paid envelope. Even if you have voted by proxy, you may still vote online if you attend the virtual Special Meeting. Please note, however, that if your shares are held of record by a broker, bank, or other nominee and you wish to vote online at the Special Meeting, you must obtain a proxy issued in your name from that record holder.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2"/>
        <w:gridCol w:w="423"/>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
              <w:r>
                <w:rPr>
                  <w:rStyle w:val="InternetLink"/>
                  <w:rFonts w:ascii="Times New Roman" w:hAnsi="Times New Roman"/>
                  <w:sz w:val="20"/>
                </w:rPr>
                <w:t>PROXY STATEMENT</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
              <w:r>
                <w:rPr>
                  <w:rStyle w:val="InternetLink"/>
                  <w:rFonts w:ascii="Times New Roman" w:hAnsi="Times New Roman"/>
                  <w:sz w:val="20"/>
                </w:rPr>
                <w:t>QUESTIONS AND ANSWERS ABOUT THESE PROXY MATERIALS AND VOTING</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3">
              <w:r>
                <w:rPr>
                  <w:rStyle w:val="InternetLink"/>
                  <w:rFonts w:ascii="Times New Roman" w:hAnsi="Times New Roman"/>
                  <w:sz w:val="20"/>
                </w:rPr>
                <w:t>CAUTIONARY INFORMATION REGARDING FORWARD LOOKING STATEMENTS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4">
              <w:r>
                <w:rPr>
                  <w:rStyle w:val="InternetLink"/>
                  <w:rFonts w:ascii="Times New Roman" w:hAnsi="Times New Roman"/>
                  <w:sz w:val="20"/>
                </w:rPr>
                <w:t>NOTE REGARDING STOCK SPLITS AND SHARE AMOUNTS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5">
              <w:r>
                <w:rPr>
                  <w:rStyle w:val="InternetLink"/>
                  <w:rFonts w:ascii="Times New Roman" w:hAnsi="Times New Roman"/>
                  <w:sz w:val="20"/>
                </w:rPr>
                <w:t>DESCRIPTION OF THE TRANSACTIONS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6">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7">
              <w:r>
                <w:rPr>
                  <w:rStyle w:val="InternetLink"/>
                  <w:rFonts w:ascii="Times New Roman" w:hAnsi="Times New Roman"/>
                  <w:sz w:val="20"/>
                </w:rPr>
                <w:t>PROPOSAL NO. 1 APPROVAL OF ISSUANCE OF COMMON STOCK UPON CONVERSION OF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8">
              <w:r>
                <w:rPr>
                  <w:rStyle w:val="InternetLink"/>
                  <w:rFonts w:ascii="Times New Roman" w:hAnsi="Times New Roman"/>
                  <w:sz w:val="20"/>
                </w:rPr>
                <w:t>PROPOSAL NO. 2 APPROVAL OF ISSUANCE OF SHARES OF OUR COMMON STOCK UPON CONVERSION OF THE PIPE PREFERRED SHARES AND UPON EXERCISE OF THE PIPE WARRANTS PURSUANT TO NASDAQ LISTING RULE 5635(D)</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9">
              <w:r>
                <w:rPr>
                  <w:rStyle w:val="InternetLink"/>
                  <w:rFonts w:ascii="Times New Roman" w:hAnsi="Times New Roman"/>
                  <w:sz w:val="20"/>
                </w:rPr>
                <w:t>PROPOSAL NO. 3 APPROVAL OF AMENDMENT OF THE CERTIFICATE OF INCORPORATION TO INCREASE THE NUMBER OF AUTHORIZED SHARES OF COMMON STOCK FROM 250,000,000 TO 275,000,000</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0">
              <w:r>
                <w:rPr>
                  <w:rStyle w:val="InternetLink"/>
                  <w:rFonts w:ascii="Times New Roman" w:hAnsi="Times New Roman"/>
                  <w:sz w:val="20"/>
                </w:rPr>
                <w:t>PROPOSAL NO. 4 APPROVAL OF THE 2026 EQUITY INCENTIVE PLAN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1">
              <w:r>
                <w:rPr>
                  <w:rStyle w:val="InternetLink"/>
                  <w:rFonts w:ascii="Times New Roman" w:hAnsi="Times New Roman"/>
                  <w:sz w:val="20"/>
                </w:rPr>
                <w:t>PROPOSAL NO. 5 APPROVAL OF THE 2026 ESPP</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2">
              <w:r>
                <w:rPr>
                  <w:rStyle w:val="InternetLink"/>
                  <w:rFonts w:ascii="Times New Roman" w:hAnsi="Times New Roman"/>
                  <w:sz w:val="20"/>
                </w:rPr>
                <w:t>PROPOSAL NO. 6 APPROVAL OF ADJOURNMENT OR POSTPONEMENT OF THE SPECIAL MEETING TO A LATER DATE OR DATES, IF NECESSARY, TO SOLICIT VOTES FOR PROPOSALS NOS. 1, 2 AND/OR 3</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3">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4">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5">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6">
              <w:r>
                <w:rPr>
                  <w:rStyle w:val="InternetLink"/>
                  <w:rFonts w:ascii="Times New Roman" w:hAnsi="Times New Roman"/>
                  <w:sz w:val="20"/>
                </w:rPr>
                <w:t>DESCRIPTION OF CAPITAL STOCK</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7">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8">
              <w:r>
                <w:rPr>
                  <w:rStyle w:val="InternetLink"/>
                  <w:rFonts w:ascii="Times New Roman" w:hAnsi="Times New Roman"/>
                  <w:sz w:val="20"/>
                </w:rPr>
                <w:t>HOUSEHOLDING OF PROXY MATERIALS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19">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0">
              <w:r>
                <w:rPr>
                  <w:rStyle w:val="InternetLink"/>
                  <w:rFonts w:ascii="Times New Roman" w:hAnsi="Times New Roman"/>
                  <w:sz w:val="20"/>
                </w:rPr>
                <w:t>ANNEX A</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1">
              <w:r>
                <w:rPr>
                  <w:rStyle w:val="InternetLink"/>
                  <w:rFonts w:ascii="Times New Roman" w:hAnsi="Times New Roman"/>
                  <w:sz w:val="20"/>
                </w:rPr>
                <w:t>ANNEX B</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2">
              <w:r>
                <w:rPr>
                  <w:rStyle w:val="InternetLink"/>
                  <w:rFonts w:ascii="Times New Roman" w:hAnsi="Times New Roman"/>
                  <w:sz w:val="20"/>
                </w:rPr>
                <w:t>ANNEX C</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C-1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46981_23">
              <w:r>
                <w:rPr>
                  <w:rStyle w:val="InternetLink"/>
                  <w:rFonts w:ascii="Times New Roman" w:hAnsi="Times New Roman"/>
                  <w:sz w:val="20"/>
                </w:rPr>
                <w:t>ANNEX D</w:t>
              </w:r>
            </w:hyperlink>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pPr>
            <w:r>
              <w:rPr/>
              <w:t>D-1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611 Gateway Boulevard, Suite 273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240" w:after="0"/>
        <w:jc w:val="center"/>
        <w:rPr>
          <w:rFonts w:ascii="Times New Roman" w:hAnsi="Times New Roman"/>
          <w:b/>
          <w:sz w:val="20"/>
        </w:rPr>
      </w:pPr>
      <w:bookmarkStart w:id="3" w:name="toc46981_1"/>
      <w:bookmarkEnd w:id="3"/>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Special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October 6, 2026 </w:t>
      </w:r>
    </w:p>
    <w:p>
      <w:pPr>
        <w:pStyle w:val="TextBody"/>
        <w:bidi w:val="0"/>
        <w:spacing w:before="240" w:after="0"/>
        <w:jc w:val="center"/>
        <w:rPr>
          <w:rFonts w:ascii="Times New Roman" w:hAnsi="Times New Roman"/>
          <w:b/>
          <w:sz w:val="20"/>
        </w:rPr>
      </w:pPr>
      <w:bookmarkStart w:id="4" w:name="toc46981_2"/>
      <w:bookmarkEnd w:id="4"/>
      <w:r>
        <w:rPr>
          <w:rFonts w:ascii="Times New Roman" w:hAnsi="Times New Roman"/>
          <w:b/>
          <w:sz w:val="20"/>
        </w:rPr>
        <w:t xml:space="preserve">QUESTIONS AND ANSWERS ABOUT THESE PROXY MATERIALS AND VOTING </w:t>
      </w:r>
    </w:p>
    <w:p>
      <w:pPr>
        <w:pStyle w:val="TextBody"/>
        <w:bidi w:val="0"/>
        <w:spacing w:before="240" w:after="0"/>
        <w:jc w:val="left"/>
        <w:rPr>
          <w:rFonts w:ascii="Times New Roman" w:hAnsi="Times New Roman"/>
          <w:b/>
          <w:sz w:val="20"/>
        </w:rPr>
      </w:pPr>
      <w:r>
        <w:rPr>
          <w:rFonts w:ascii="Times New Roman" w:hAnsi="Times New Roman"/>
          <w:b/>
          <w:sz w:val="20"/>
        </w:rPr>
        <w:t xml:space="preserve">Why did I receive these materials? </w:t>
      </w:r>
    </w:p>
    <w:p>
      <w:pPr>
        <w:pStyle w:val="TextBody"/>
        <w:bidi w:val="0"/>
        <w:spacing w:before="120" w:after="0"/>
        <w:jc w:val="left"/>
        <w:rPr>
          <w:rFonts w:ascii="Times New Roman" w:hAnsi="Times New Roman"/>
          <w:sz w:val="20"/>
        </w:rPr>
      </w:pPr>
      <w:r>
        <w:rPr>
          <w:rFonts w:ascii="Times New Roman" w:hAnsi="Times New Roman"/>
          <w:sz w:val="20"/>
        </w:rPr>
        <w:t xml:space="preserve">We have sent you the Proxy Statement and the proxy card (the “Proxy Materials”) because the Board of Directors (the “Board” or “Board of Directors”) of Quince Therapeutics, Inc. (the “Company”) is soliciting your proxy to vote at the Special Meeting of Stockholders, including at any adjournments or postponements of the meeting. The Proxy Statement summarizes the information you will need to know to cast an informed vote at the Special Meeting. You are invited to attend the Special Meeting to vote on the proposals as described in the Proxy Statement. However, you do not need to attend the Special Meeting to vote your shares. Instead, you may simply complete, sign and return the enclosed proxy card, or follow the instructions below to submit your proxy over the telephone or through the internet.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mail the Proxy Materials on or about August 26, 2026 to all stockholders of record entitled to vote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attend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To facilitate stockholder participation in the Special Meeting, this year the Special Meeting will be held through a live webcast at https://edge.media-server.com/mmc/p/yb6vakam. You will not be able to attend the Special Meeting in person. If you attend the Special Meeting online, you will be able to vote and submit questions at https://edge.media-server.com/mmc/p/yb6vakam. </w:t>
      </w:r>
    </w:p>
    <w:p>
      <w:pPr>
        <w:pStyle w:val="TextBody"/>
        <w:bidi w:val="0"/>
        <w:spacing w:before="240" w:after="0"/>
        <w:jc w:val="left"/>
        <w:rPr>
          <w:rFonts w:ascii="Times New Roman" w:hAnsi="Times New Roman"/>
          <w:sz w:val="20"/>
        </w:rPr>
      </w:pPr>
      <w:r>
        <w:rPr>
          <w:rFonts w:ascii="Times New Roman" w:hAnsi="Times New Roman"/>
          <w:sz w:val="20"/>
        </w:rPr>
        <w:t xml:space="preserve">You are entitled to attend the Special Meeting if you were a stockholder as of the close of business on August 24, 2026, the record date, or hold a valid proxy for the meeting. To be admitted to the Special Meeting, you will need to visit https://edge.media-server.com/mmc/p/yb6vakam and enter the Control Number found next to the label “Control Number” on your proxy card or voting instruction form. If you are a beneficial stockholder, you should contact the bank, broker or other institution where you hold your account well in advance of the meeting if you have questions about obtaining your control number/ proxy to vote.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participate in the Special Meeting, it is important that you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We encourage you to access the Special Meeting before it begins. Online check-in will start approximately 15 minutes before the meeting on October 6, 2026.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cannot find my Control Number? </w:t>
      </w:r>
    </w:p>
    <w:p>
      <w:pPr>
        <w:pStyle w:val="TextBody"/>
        <w:bidi w:val="0"/>
        <w:spacing w:before="120" w:after="0"/>
        <w:jc w:val="left"/>
        <w:rPr>
          <w:rFonts w:ascii="Times New Roman" w:hAnsi="Times New Roman"/>
          <w:sz w:val="20"/>
        </w:rPr>
      </w:pPr>
      <w:r>
        <w:rPr>
          <w:rFonts w:ascii="Times New Roman" w:hAnsi="Times New Roman"/>
          <w:sz w:val="20"/>
        </w:rPr>
        <w:t xml:space="preserve">We will have access to a list of control numbers for registered stockholders in the event of a lost number. You may contact us through our Investor Relations section of our website at https://ir.quincetx.com for assistance. Typically, “guest” access is not permitted. Please contact us through our Investor Relations section of our website at https://ir.quincetx.com if you would like to permit guest access.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(that is, you hold your shares in an account at a bank, broker or other holder of record), you will need to contact that bank, broker or other holder of record to obtain your Control Number prior to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Will a list of record stockholders as of the record date be available? </w:t>
      </w:r>
    </w:p>
    <w:p>
      <w:pPr>
        <w:pStyle w:val="TextBody"/>
        <w:bidi w:val="0"/>
        <w:spacing w:before="120" w:after="0"/>
        <w:jc w:val="left"/>
        <w:rPr>
          <w:rFonts w:ascii="Times New Roman" w:hAnsi="Times New Roman"/>
          <w:sz w:val="20"/>
        </w:rPr>
      </w:pPr>
      <w:r>
        <w:rPr>
          <w:rFonts w:ascii="Times New Roman" w:hAnsi="Times New Roman"/>
          <w:sz w:val="20"/>
        </w:rPr>
        <w:t xml:space="preserve">A list of our record stockholders as of the close of business on August 24, 2026, which is the record date for the Special Meeting, will be available for inspection at our corporate office for the 10 days ending on the day before the Special Meeting. If you want to inspect the stockholder list, call our office at (415) 910-5717 to speak with our Investor Relations department to schedule an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Where can we get technical assistance? </w:t>
      </w:r>
    </w:p>
    <w:p>
      <w:pPr>
        <w:pStyle w:val="TextBody"/>
        <w:bidi w:val="0"/>
        <w:spacing w:before="12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Special Meeting. If you encounter any difficulties accessing the virtual-only Special Meeting platform, including any difficulties voting or submitting questions, you may call the technical support number that will be posted in your instructional email. The technical support number will not be posted publicly; it will be provided to meeting attendees via e-mail one hour prior to the meeting start time. </w:t>
      </w:r>
    </w:p>
    <w:p>
      <w:pPr>
        <w:pStyle w:val="TextBody"/>
        <w:bidi w:val="0"/>
        <w:spacing w:before="360" w:after="0"/>
        <w:jc w:val="left"/>
        <w:rPr>
          <w:rFonts w:ascii="Times New Roman" w:hAnsi="Times New Roman"/>
          <w:b/>
          <w:sz w:val="20"/>
        </w:rPr>
      </w:pPr>
      <w:r>
        <w:rPr>
          <w:rFonts w:ascii="Times New Roman" w:hAnsi="Times New Roman"/>
          <w:b/>
          <w:sz w:val="20"/>
        </w:rPr>
        <w:t xml:space="preserve">For the Special Meeting, how do we ask questions of management and the board?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submit questions that are relevant to our business in advance of the Special Meeting. If you are a stockholder, you may submit a question in advance of the meeting at www.voteproxy.com after logging in with your Control Number. We do not intend to post questions or answers to stockholder questions received during the Special Meeting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Who can vote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Only stockholders of record at the close of business on August 24, 2026 will be entitled to vote at the Special Meeting. On this record date, there were 1,017,063 shares of common stock outstanding and entitled to vote. On the record date, there were 211,301.868 shares of Series C Preferred Stock issued and outstanding; however, the shares of Series C Preferred Stock are not entitled to vote on the matters being considered at the Special Meeting. Of the shares of common stock issued and outstanding on the record date, 162,971 shares of common stock were issued in the Acquisition and are not entitled to vote on Proposal No. 1 pursuant to Nasdaq Listing Rules. However, to comply with Nasdaq rules, we will instruct the inspector of elections to conduct a separate tabulation that subtracts up to 162,971 shares from the total number of shares voted in favor of Proposal No. 1 to determine whether the proposal has been adopted in accordance with applicable Nasdaq Listing Rules.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on August 24, 2026 your shares were registered directly in your name with our transfer agent, Equiniti Trust Company, LLC (formerly American Stock Transfer &amp; Trust Company, LLC), then you are a stockholder of record. As a stockholder of record, you may vote virtually at the meeting or vote by proxy. Whether or not you plan to attend the meeting, we urge you to fill out and return the enclosed proxy card or vote by proxy over the telephone or on the internet as instructed below to ensure your vote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a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on August 24, 2026 your shares were held, not in your name, but rather in an account at a brokerage firm, bank, dealer or other similar organization, then you are the beneficial owner of shares held in “street name” and the Proxy Materials are being forwarded to you by that organization. The organization holding your account is considered to be the stockholder of record for purposes of voting at the Special Meeting. As a beneficial owner, you have the right to direct your broker or other agent regarding how to vote the shares in your account. You are also invited to attend the Special Meeting. However, since you are not the stockholder of record, you may not vote your shares virtually at the meeting unless you request and obtain a valid legal proxy from your broker or other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am I voting on? </w:t>
      </w:r>
    </w:p>
    <w:p>
      <w:pPr>
        <w:pStyle w:val="TextBody"/>
        <w:bidi w:val="0"/>
        <w:spacing w:before="120" w:after="0"/>
        <w:jc w:val="left"/>
        <w:rPr>
          <w:rFonts w:ascii="Times New Roman" w:hAnsi="Times New Roman"/>
          <w:b/>
          <w:sz w:val="20"/>
        </w:rPr>
      </w:pPr>
      <w:r>
        <w:rPr>
          <w:rFonts w:ascii="Times New Roman" w:hAnsi="Times New Roman"/>
          <w:b/>
          <w:sz w:val="20"/>
        </w:rPr>
        <w:t xml:space="preserve">There are six matters scheduled for a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1</w:t>
            </w:r>
            <w:r>
              <w:rPr>
                <w:rFonts w:ascii="Times New Roman" w:hAnsi="Times New Roman"/>
                <w:sz w:val="20"/>
              </w:rPr>
              <w:t xml:space="preserve"> – Approval of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2</w:t>
            </w:r>
            <w:r>
              <w:rPr>
                <w:rFonts w:ascii="Times New Roman" w:hAnsi="Times New Roman"/>
                <w:sz w:val="20"/>
              </w:rPr>
              <w:t xml:space="preserve"> – Approval of issuance of shares of our common stock, upon conversion of the PIPE Preferred Shares and upon exercise of the PIPE Warrants pursuant to Nasdaq Listing Rule 5635(d);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3</w:t>
            </w:r>
            <w:r>
              <w:rPr>
                <w:rFonts w:ascii="Times New Roman" w:hAnsi="Times New Roman"/>
                <w:sz w:val="20"/>
              </w:rPr>
              <w:t xml:space="preserve"> – Approval of an amendment to our certificate of incorporation to increase the number of authorized shares of our common stock from 250,000,000 to 275,000,000;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4</w:t>
            </w:r>
            <w:r>
              <w:rPr>
                <w:rFonts w:ascii="Times New Roman" w:hAnsi="Times New Roman"/>
                <w:sz w:val="20"/>
              </w:rPr>
              <w:t xml:space="preserve"> – Approval of the 2026 Equity Incentive Plan;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5</w:t>
            </w:r>
            <w:r>
              <w:rPr>
                <w:rFonts w:ascii="Times New Roman" w:hAnsi="Times New Roman"/>
                <w:sz w:val="20"/>
              </w:rPr>
              <w:t xml:space="preserve"> – Approval of the 2026 ESPP;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Proposal No. 6</w:t>
            </w:r>
            <w:r>
              <w:rPr>
                <w:rFonts w:ascii="Times New Roman" w:hAnsi="Times New Roman"/>
                <w:sz w:val="20"/>
              </w:rPr>
              <w:t xml:space="preserve"> – Approval of the adjournment or postponement of the Special Meeting, if necessary, to continue to solicit votes for Proposals Nos. 1, 2 and/or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Conversion Proposal, stockholders should note that a “change of control” as described under Nasdaq Listing Rule 5635(b) applies only with respect to the application of such rule and does not constitute a “change of control” for purposes of Delaware law or our organizational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another matter is properly brought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Are stockholders being asked to vote on the Merger Agreement or the Acquisition described herein? </w:t>
      </w:r>
    </w:p>
    <w:p>
      <w:pPr>
        <w:pStyle w:val="TextBody"/>
        <w:bidi w:val="0"/>
        <w:spacing w:before="120" w:after="0"/>
        <w:jc w:val="left"/>
        <w:rPr>
          <w:rFonts w:ascii="Times New Roman" w:hAnsi="Times New Roman"/>
          <w:sz w:val="20"/>
        </w:rPr>
      </w:pPr>
      <w:r>
        <w:rPr>
          <w:rFonts w:ascii="Times New Roman" w:hAnsi="Times New Roman"/>
          <w:sz w:val="20"/>
        </w:rPr>
        <w:t xml:space="preserve">No. The Acquisition was completed on May 18, 2026 and we are not required to seek, nor are we seeking, stockholder approval of the Acquisition or the Merger Agreement. Rather, for purposes of complying with the Nasdaq Listing Rules, we are seeking stockholder approval for the issuance of shares of common stock of the Company upon conversion of the outstanding shares of Series C Preferred Stock and exercise of the Warrants and Orphai Options that we issued, or assumed (as applicable), in the Acquisition. The Company and Orphai discussed various potential transaction structures and, due to the desire of both parties to consummate the Acquisition at the earliest possible time, the Board approved a transaction structure that did not require the approval of the stockholders of the Company for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You may vote “For” or “Against” or abstain from voting on each of the six proposals 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virtually at the Special Meeting or vote by proxy in one of three ways: online, by telephone or using the enclosed proxy card. Whether or not you plan to attend the meeting, we urge you to vote by proxy to ensure your vote is counted. You may still attend the Special Meeting and vote virtually even if you have already voted by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vote during the Special Meeting, if you are a stockholder of record as of the record date, follow the instructions provided via e-mail after registering at https://edge.media-server.com/mmc/p/yb6vakam. You will need to enter the Control Number found on the enclosed proxy card. </w:t>
      </w:r>
    </w:p>
    <w:p>
      <w:pPr>
        <w:pStyle w:val="TextBody"/>
        <w:bidi w:val="0"/>
        <w:spacing w:before="240" w:after="0"/>
        <w:jc w:val="left"/>
        <w:rPr>
          <w:rFonts w:ascii="Times New Roman" w:hAnsi="Times New Roman"/>
          <w:sz w:val="20"/>
        </w:rPr>
      </w:pPr>
      <w:r>
        <w:rPr>
          <w:rFonts w:ascii="Times New Roman" w:hAnsi="Times New Roman"/>
          <w:sz w:val="20"/>
        </w:rPr>
        <w:t xml:space="preserve">To vote prior to the Special Meeting you may vote via the Internet at www.voteproxy.com; by telephone; or by completing and returning the enclosed proxy card or voting instruction form,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online, go to www.voteproxy.com. You will be asked to provide the Company number and control number from the enclosed proxy card. Your vote must be received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1-800-776-9437. You will be asked to provide the control number from the enclosed proxy card. Your vote must be received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by mail, you can vote by promptly completing and returning your signed proxy card in the envelope provided. You should mail your signed proxy card sufficiently in advance for it to be received by October 6, 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the Proxy Materials from that organization rather than from us. Please follow the voting instruction form to ensure that your vote is counted. Alternatively, you may vote by telephone or over the internet as instructed by your broker or bank. You may access and vote at the meeting by registering to attend the meeting at https://edge.media-server.com/mmc/p/yb6vakam using your control number on your voting instruction form and by requesting a valid proxy from your broker, bank or other agent.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On each matter to be voted upon, you have one vote for each share of common stock you own as of August 24, 2026, subject to the separate tabulation of votes for Proposal No. 1 described above under “</w:t>
      </w:r>
      <w:r>
        <w:rPr>
          <w:rFonts w:ascii="Times New Roman" w:hAnsi="Times New Roman"/>
          <w:i/>
          <w:sz w:val="20"/>
        </w:rPr>
        <w:t>Who can vote at the Special Meeting?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What happens if I do not vote?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do not vote by completing your proxy card, by telephone or through the internet at the Special Meeting, your shares will not be voted.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or nominee may not vote your shares on any of the proposals presented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return a proxy card or otherwise vote but do not make specific choices? </w:t>
      </w:r>
    </w:p>
    <w:p>
      <w:pPr>
        <w:pStyle w:val="TextBody"/>
        <w:bidi w:val="0"/>
        <w:spacing w:before="120" w:after="0"/>
        <w:jc w:val="left"/>
        <w:rPr>
          <w:rFonts w:ascii="Times New Roman" w:hAnsi="Times New Roman"/>
          <w:sz w:val="20"/>
        </w:rPr>
      </w:pPr>
      <w:r>
        <w:rPr>
          <w:rFonts w:ascii="Times New Roman" w:hAnsi="Times New Roman"/>
          <w:sz w:val="20"/>
        </w:rPr>
        <w:t xml:space="preserve">If you return a signed and dated proxy card or otherwise vote without marking voting selections, your shares will be voted, as applicable, “FOR” the Conversion Proposal, “FOR” the Minimum Price Proposal, “FOR” the Authorized Share Proposal, “FOR” the 2026 Plan Proposal, “FOR” the 2026 ESPP Proposal and “FOR” the Adjournment Proposal. If any other matter is properly presented at the meeting, your proxyholder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for the entire cost of soliciting proxies. In addition to the Proxy Materials, our directors and employees may also solicit proxies virtually, by telephone, or by other means of communication. Directors and employees will not be paid any additional compensation for soliciting proxies. We will also reimburse brokerage firms, banks and other agents for the cost of forwarding the Proxy Materials to beneficial owners. In addition, we have retained MacKenzie Partners, Inc. as a proxy solicitor to solicit proxies for the Special Meeting and provide related advice and information support, for a service fee of $20,000 and the reimbursement of customary disbursements.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set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set of Proxy Materials, your shares may be registered in more than one name or in different accounts. Please follow the voting instructions on the proxy card in the Proxy Materials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Yes. You can revoke your proxy at any time before the final vote at the meeting. If you are the record holder of your shares, you may revoke your proxy in any one of the following ways: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card with a later date.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grant a subsequent proxy by telephone or through the internet.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timely written notice that you are revoking your proxy to our Corporate Secretary at 611 Gateway Boulevard, Suite 273, South San Francisco, California 94080.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and vote online. Simply attending the meeting will not, by itself, revoke your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current proxy card or telephone or internet proxy is the one that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your broker or bank as a nominee or agent, you should follow the instructions provided by your broker or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are votes counted? </w:t>
      </w:r>
    </w:p>
    <w:p>
      <w:pPr>
        <w:pStyle w:val="TextBody"/>
        <w:bidi w:val="0"/>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votes “For,” “Against,” abstentions and broker non-votes for each of the six proposals 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For each of the proposals presented at the Special Meeting, only “For” and “Against” votes will be counted. Abstentions and broker non-votes will have no effect and will not be counted as votes cast for purposes of determining whether any such proposal has been approved. In addition, for Proposal No. 1, of the shares of common stock issued and outstanding on the record date, 162,971 shares of common stock were issued in the Acquisition and are not entitled to vote on Proposal No. 1 pursuant to Nasdaq Listing Rules. However, to comply with Nasdaq rules, we will instruct the inspector of elections to conduct a separate tabulation that subtracts up to 162,971 shares from the total number of shares voted in favor of Proposal No. 1 to determine whether the proposal has been adopted in accordance with applicable Nasdaq Listing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are needed to approve each proposal?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minimum vote needed to approve each proposal and the effect of abstentions and broker non-votes.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0"/>
        <w:gridCol w:w="120"/>
        <w:gridCol w:w="4912"/>
        <w:gridCol w:w="120"/>
        <w:gridCol w:w="2458"/>
        <w:gridCol w:w="120"/>
        <w:gridCol w:w="864"/>
        <w:gridCol w:w="120"/>
        <w:gridCol w:w="811"/>
      </w:tblGrid>
      <w:tr>
        <w:trPr/>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Proposal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49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Proposal Description</w:t>
            </w:r>
          </w:p>
        </w:tc>
        <w:tc>
          <w:tcPr>
            <w:tcW w:w="120" w:type="dxa"/>
            <w:tcBorders/>
            <w:vAlign w:val="center"/>
          </w:tcPr>
          <w:p>
            <w:pPr>
              <w:pStyle w:val="TableContents"/>
              <w:bidi w:val="0"/>
              <w:spacing w:before="0" w:after="283"/>
              <w:jc w:val="left"/>
              <w:rPr/>
            </w:pPr>
            <w:r>
              <w:rPr/>
              <w:t>  </w:t>
            </w:r>
          </w:p>
        </w:tc>
        <w:tc>
          <w:tcPr>
            <w:tcW w:w="245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 Required for Approval</w:t>
            </w:r>
          </w:p>
        </w:tc>
        <w:tc>
          <w:tcPr>
            <w:tcW w:w="120" w:type="dxa"/>
            <w:tcBorders/>
            <w:vAlign w:val="center"/>
          </w:tcPr>
          <w:p>
            <w:pPr>
              <w:pStyle w:val="TableContents"/>
              <w:bidi w:val="0"/>
              <w:spacing w:before="0" w:after="283"/>
              <w:jc w:val="left"/>
              <w:rPr/>
            </w:pPr>
            <w:r>
              <w:rPr/>
              <w:t>  </w:t>
            </w:r>
          </w:p>
        </w:tc>
        <w:tc>
          <w:tcPr>
            <w:tcW w:w="86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Abstentions</w:t>
            </w:r>
          </w:p>
        </w:tc>
        <w:tc>
          <w:tcPr>
            <w:tcW w:w="120" w:type="dxa"/>
            <w:tcBorders/>
            <w:vAlign w:val="center"/>
          </w:tcPr>
          <w:p>
            <w:pPr>
              <w:pStyle w:val="TableContents"/>
              <w:bidi w:val="0"/>
              <w:spacing w:before="0" w:after="283"/>
              <w:jc w:val="left"/>
              <w:rPr/>
            </w:pPr>
            <w:r>
              <w:rPr/>
              <w:t>  </w:t>
            </w:r>
          </w:p>
        </w:tc>
        <w:tc>
          <w:tcPr>
            <w:tcW w:w="81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Broker</w:t>
              <w:br/>
              <w:t>Non-Votes</w:t>
            </w:r>
          </w:p>
        </w:tc>
      </w:tr>
      <w:tr>
        <w:trPr/>
        <w:tc>
          <w:tcPr>
            <w:tcW w:w="680" w:type="dxa"/>
            <w:tcBorders/>
            <w:vAlign w:val="center"/>
          </w:tcPr>
          <w:p>
            <w:pPr>
              <w:pStyle w:val="TableContents"/>
              <w:bidi w:val="0"/>
              <w:spacing w:before="0" w:after="283"/>
              <w:jc w:val="center"/>
              <w:rPr/>
            </w:pPr>
            <w:r>
              <w:rPr/>
              <w:t>1</w:t>
            </w:r>
          </w:p>
        </w:tc>
        <w:tc>
          <w:tcPr>
            <w:tcW w:w="120" w:type="dxa"/>
            <w:tcBorders/>
            <w:vAlign w:val="center"/>
          </w:tcPr>
          <w:p>
            <w:pPr>
              <w:pStyle w:val="TableContents"/>
              <w:bidi w:val="0"/>
              <w:spacing w:before="0" w:after="283"/>
              <w:jc w:val="left"/>
              <w:rPr/>
            </w:pPr>
            <w:r>
              <w:rPr/>
              <w:t>  </w:t>
            </w:r>
          </w:p>
        </w:tc>
        <w:tc>
          <w:tcPr>
            <w:tcW w:w="4912" w:type="dxa"/>
            <w:tcBorders/>
            <w:vAlign w:val="center"/>
          </w:tcPr>
          <w:p>
            <w:pPr>
              <w:pStyle w:val="TableContents"/>
              <w:bidi w:val="0"/>
              <w:spacing w:before="0" w:after="283"/>
              <w:jc w:val="left"/>
              <w:rPr/>
            </w:pPr>
            <w:r>
              <w:rPr/>
              <w:t>Approval of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w:t>
            </w:r>
          </w:p>
        </w:tc>
        <w:tc>
          <w:tcPr>
            <w:tcW w:w="120"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pPr>
            <w:r>
              <w:rPr/>
              <w:t>“</w:t>
            </w:r>
            <w:r>
              <w:rPr/>
              <w:t>For” votes from a majority of the votes cast for such proposal, subject to the separate tabulation of votes for Proposal No. 1 described above under “</w:t>
            </w:r>
            <w:r>
              <w:rPr>
                <w:i/>
              </w:rPr>
              <w:t>Who can vote at the Special Meeting?</w:t>
            </w:r>
            <w:r>
              <w:rPr/>
              <w:t>”</w:t>
            </w:r>
          </w:p>
        </w:tc>
        <w:tc>
          <w:tcPr>
            <w:tcW w:w="12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No effect</w:t>
            </w:r>
          </w:p>
        </w:tc>
      </w:tr>
      <w:tr>
        <w:trPr/>
        <w:tc>
          <w:tcPr>
            <w:tcW w:w="680" w:type="dxa"/>
            <w:tcBorders/>
            <w:vAlign w:val="center"/>
          </w:tcPr>
          <w:p>
            <w:pPr>
              <w:pStyle w:val="TableContents"/>
              <w:bidi w:val="0"/>
              <w:spacing w:before="0" w:after="283"/>
              <w:jc w:val="left"/>
              <w:rPr>
                <w:sz w:val="4"/>
                <w:szCs w:val="4"/>
              </w:rPr>
            </w:pPr>
            <w:r>
              <w:rPr>
                <w:sz w:val="4"/>
                <w:szCs w:val="4"/>
              </w:rPr>
            </w:r>
          </w:p>
        </w:tc>
        <w:tc>
          <w:tcPr>
            <w:tcW w:w="5032"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2</w:t>
            </w:r>
          </w:p>
        </w:tc>
        <w:tc>
          <w:tcPr>
            <w:tcW w:w="120" w:type="dxa"/>
            <w:tcBorders/>
            <w:vAlign w:val="center"/>
          </w:tcPr>
          <w:p>
            <w:pPr>
              <w:pStyle w:val="TableContents"/>
              <w:bidi w:val="0"/>
              <w:spacing w:before="0" w:after="283"/>
              <w:jc w:val="left"/>
              <w:rPr/>
            </w:pPr>
            <w:r>
              <w:rPr/>
              <w:t>  </w:t>
            </w:r>
          </w:p>
        </w:tc>
        <w:tc>
          <w:tcPr>
            <w:tcW w:w="4912" w:type="dxa"/>
            <w:tcBorders/>
            <w:vAlign w:val="center"/>
          </w:tcPr>
          <w:p>
            <w:pPr>
              <w:pStyle w:val="TableContents"/>
              <w:bidi w:val="0"/>
              <w:spacing w:before="0" w:after="283"/>
              <w:jc w:val="left"/>
              <w:rPr/>
            </w:pPr>
            <w:r>
              <w:rPr/>
              <w:t>Approval of issuance of shares of our common stock, upon conversion of the PIPE Preferred Shares and upon exercise of the PIPE Warrants pursuant to Nasdaq Listing Rule 5635(d)</w:t>
            </w:r>
          </w:p>
        </w:tc>
        <w:tc>
          <w:tcPr>
            <w:tcW w:w="120"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pPr>
            <w:r>
              <w:rPr/>
              <w:t>“</w:t>
            </w:r>
            <w:r>
              <w:rPr/>
              <w:t>For” votes from a majority of the votes cast for such proposal.</w:t>
            </w:r>
          </w:p>
        </w:tc>
        <w:tc>
          <w:tcPr>
            <w:tcW w:w="12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No effect</w:t>
            </w:r>
          </w:p>
        </w:tc>
      </w:tr>
      <w:tr>
        <w:trPr/>
        <w:tc>
          <w:tcPr>
            <w:tcW w:w="680" w:type="dxa"/>
            <w:tcBorders/>
            <w:vAlign w:val="center"/>
          </w:tcPr>
          <w:p>
            <w:pPr>
              <w:pStyle w:val="TableContents"/>
              <w:bidi w:val="0"/>
              <w:spacing w:before="0" w:after="283"/>
              <w:jc w:val="left"/>
              <w:rPr>
                <w:sz w:val="4"/>
                <w:szCs w:val="4"/>
              </w:rPr>
            </w:pPr>
            <w:r>
              <w:rPr>
                <w:sz w:val="4"/>
                <w:szCs w:val="4"/>
              </w:rPr>
            </w:r>
          </w:p>
        </w:tc>
        <w:tc>
          <w:tcPr>
            <w:tcW w:w="5032"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3</w:t>
            </w:r>
          </w:p>
        </w:tc>
        <w:tc>
          <w:tcPr>
            <w:tcW w:w="120" w:type="dxa"/>
            <w:tcBorders/>
            <w:vAlign w:val="center"/>
          </w:tcPr>
          <w:p>
            <w:pPr>
              <w:pStyle w:val="TableContents"/>
              <w:bidi w:val="0"/>
              <w:spacing w:before="0" w:after="283"/>
              <w:jc w:val="left"/>
              <w:rPr/>
            </w:pPr>
            <w:r>
              <w:rPr/>
              <w:t>  </w:t>
            </w:r>
          </w:p>
        </w:tc>
        <w:tc>
          <w:tcPr>
            <w:tcW w:w="4912" w:type="dxa"/>
            <w:tcBorders/>
            <w:vAlign w:val="center"/>
          </w:tcPr>
          <w:p>
            <w:pPr>
              <w:pStyle w:val="TableContents"/>
              <w:bidi w:val="0"/>
              <w:spacing w:before="0" w:after="283"/>
              <w:jc w:val="left"/>
              <w:rPr/>
            </w:pPr>
            <w:r>
              <w:rPr/>
              <w:t>Approval of an amendment to our certificate of incorporation to increase the number of authorized shares of our common stock from 250,000,000 to 275,000,000</w:t>
            </w:r>
          </w:p>
        </w:tc>
        <w:tc>
          <w:tcPr>
            <w:tcW w:w="120"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pPr>
            <w:r>
              <w:rPr/>
              <w:t>“</w:t>
            </w:r>
            <w:r>
              <w:rPr/>
              <w:t>For” votes from a majority of the votes cast for such proposal</w:t>
            </w:r>
          </w:p>
        </w:tc>
        <w:tc>
          <w:tcPr>
            <w:tcW w:w="12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No effect</w:t>
            </w:r>
          </w:p>
        </w:tc>
      </w:tr>
      <w:tr>
        <w:trPr/>
        <w:tc>
          <w:tcPr>
            <w:tcW w:w="680" w:type="dxa"/>
            <w:tcBorders/>
            <w:vAlign w:val="center"/>
          </w:tcPr>
          <w:p>
            <w:pPr>
              <w:pStyle w:val="TableContents"/>
              <w:bidi w:val="0"/>
              <w:spacing w:before="0" w:after="283"/>
              <w:jc w:val="left"/>
              <w:rPr>
                <w:sz w:val="4"/>
                <w:szCs w:val="4"/>
              </w:rPr>
            </w:pPr>
            <w:r>
              <w:rPr>
                <w:sz w:val="4"/>
                <w:szCs w:val="4"/>
              </w:rPr>
            </w:r>
          </w:p>
        </w:tc>
        <w:tc>
          <w:tcPr>
            <w:tcW w:w="5032"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931"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4</w:t>
            </w:r>
          </w:p>
        </w:tc>
        <w:tc>
          <w:tcPr>
            <w:tcW w:w="120" w:type="dxa"/>
            <w:tcBorders/>
            <w:vAlign w:val="center"/>
          </w:tcPr>
          <w:p>
            <w:pPr>
              <w:pStyle w:val="TableContents"/>
              <w:bidi w:val="0"/>
              <w:spacing w:before="0" w:after="283"/>
              <w:jc w:val="left"/>
              <w:rPr/>
            </w:pPr>
            <w:r>
              <w:rPr/>
              <w:t>  </w:t>
            </w:r>
          </w:p>
        </w:tc>
        <w:tc>
          <w:tcPr>
            <w:tcW w:w="4912" w:type="dxa"/>
            <w:tcBorders/>
            <w:vAlign w:val="center"/>
          </w:tcPr>
          <w:p>
            <w:pPr>
              <w:pStyle w:val="TableContents"/>
              <w:bidi w:val="0"/>
              <w:spacing w:before="0" w:after="283"/>
              <w:jc w:val="left"/>
              <w:rPr/>
            </w:pPr>
            <w:r>
              <w:rPr/>
              <w:t>Approval of the 2026 Equity Incentive Plan</w:t>
            </w:r>
          </w:p>
        </w:tc>
        <w:tc>
          <w:tcPr>
            <w:tcW w:w="120"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pPr>
            <w:r>
              <w:rPr/>
              <w:t>“</w:t>
            </w:r>
            <w:r>
              <w:rPr/>
              <w:t>For” votes from a majority of the votes cast for such proposal</w:t>
            </w:r>
          </w:p>
        </w:tc>
        <w:tc>
          <w:tcPr>
            <w:tcW w:w="12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No effect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80"/>
        <w:gridCol w:w="120"/>
        <w:gridCol w:w="3202"/>
        <w:gridCol w:w="120"/>
        <w:gridCol w:w="4157"/>
        <w:gridCol w:w="120"/>
        <w:gridCol w:w="866"/>
        <w:gridCol w:w="120"/>
        <w:gridCol w:w="820"/>
      </w:tblGrid>
      <w:tr>
        <w:trPr/>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Proposal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320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Proposal Description</w:t>
            </w:r>
          </w:p>
        </w:tc>
        <w:tc>
          <w:tcPr>
            <w:tcW w:w="120" w:type="dxa"/>
            <w:tcBorders/>
            <w:vAlign w:val="center"/>
          </w:tcPr>
          <w:p>
            <w:pPr>
              <w:pStyle w:val="TableContents"/>
              <w:bidi w:val="0"/>
              <w:spacing w:before="0" w:after="283"/>
              <w:jc w:val="left"/>
              <w:rPr/>
            </w:pPr>
            <w:r>
              <w:rPr/>
              <w:t>  </w:t>
            </w:r>
          </w:p>
        </w:tc>
        <w:tc>
          <w:tcPr>
            <w:tcW w:w="415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 Required for Approval</w:t>
            </w:r>
          </w:p>
        </w:tc>
        <w:tc>
          <w:tcPr>
            <w:tcW w:w="120" w:type="dxa"/>
            <w:tcBorders/>
            <w:vAlign w:val="center"/>
          </w:tcPr>
          <w:p>
            <w:pPr>
              <w:pStyle w:val="TableContents"/>
              <w:bidi w:val="0"/>
              <w:spacing w:before="0" w:after="283"/>
              <w:jc w:val="left"/>
              <w:rPr/>
            </w:pPr>
            <w:r>
              <w:rPr/>
              <w:t>  </w:t>
            </w:r>
          </w:p>
        </w:tc>
        <w:tc>
          <w:tcPr>
            <w:tcW w:w="86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Abstentions</w:t>
            </w:r>
          </w:p>
        </w:tc>
        <w:tc>
          <w:tcPr>
            <w:tcW w:w="120" w:type="dxa"/>
            <w:tcBorders/>
            <w:vAlign w:val="center"/>
          </w:tcPr>
          <w:p>
            <w:pPr>
              <w:pStyle w:val="TableContents"/>
              <w:bidi w:val="0"/>
              <w:spacing w:before="0" w:after="283"/>
              <w:jc w:val="left"/>
              <w:rPr/>
            </w:pPr>
            <w:r>
              <w:rPr/>
              <w:t>  </w:t>
            </w:r>
          </w:p>
        </w:tc>
        <w:tc>
          <w:tcPr>
            <w:tcW w:w="8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Effect of</w:t>
              <w:br/>
              <w:t>Broker</w:t>
              <w:br/>
              <w:t>Non-Votes</w:t>
            </w:r>
          </w:p>
        </w:tc>
      </w:tr>
      <w:tr>
        <w:trPr/>
        <w:tc>
          <w:tcPr>
            <w:tcW w:w="680" w:type="dxa"/>
            <w:tcBorders/>
            <w:vAlign w:val="center"/>
          </w:tcPr>
          <w:p>
            <w:pPr>
              <w:pStyle w:val="TableContents"/>
              <w:bidi w:val="0"/>
              <w:spacing w:before="0" w:after="283"/>
              <w:jc w:val="left"/>
              <w:rPr>
                <w:sz w:val="4"/>
                <w:szCs w:val="4"/>
              </w:rPr>
            </w:pPr>
            <w:r>
              <w:rPr>
                <w:sz w:val="4"/>
                <w:szCs w:val="4"/>
              </w:rPr>
            </w:r>
          </w:p>
        </w:tc>
        <w:tc>
          <w:tcPr>
            <w:tcW w:w="3322" w:type="dxa"/>
            <w:gridSpan w:val="2"/>
            <w:tcBorders/>
            <w:vAlign w:val="center"/>
          </w:tcPr>
          <w:p>
            <w:pPr>
              <w:pStyle w:val="TableContents"/>
              <w:bidi w:val="0"/>
              <w:spacing w:before="0" w:after="283"/>
              <w:jc w:val="left"/>
              <w:rPr>
                <w:sz w:val="4"/>
                <w:szCs w:val="4"/>
              </w:rPr>
            </w:pPr>
            <w:r>
              <w:rPr>
                <w:sz w:val="4"/>
                <w:szCs w:val="4"/>
              </w:rPr>
            </w:r>
          </w:p>
        </w:tc>
        <w:tc>
          <w:tcPr>
            <w:tcW w:w="4277"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4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5</w:t>
            </w:r>
          </w:p>
        </w:tc>
        <w:tc>
          <w:tcPr>
            <w:tcW w:w="120" w:type="dxa"/>
            <w:tcBorders/>
            <w:vAlign w:val="center"/>
          </w:tcPr>
          <w:p>
            <w:pPr>
              <w:pStyle w:val="TableContents"/>
              <w:bidi w:val="0"/>
              <w:spacing w:before="0" w:after="283"/>
              <w:jc w:val="left"/>
              <w:rPr/>
            </w:pPr>
            <w:r>
              <w:rPr/>
              <w:t>  </w:t>
            </w:r>
          </w:p>
        </w:tc>
        <w:tc>
          <w:tcPr>
            <w:tcW w:w="3202" w:type="dxa"/>
            <w:tcBorders/>
            <w:vAlign w:val="center"/>
          </w:tcPr>
          <w:p>
            <w:pPr>
              <w:pStyle w:val="TableContents"/>
              <w:bidi w:val="0"/>
              <w:spacing w:before="0" w:after="283"/>
              <w:jc w:val="left"/>
              <w:rPr/>
            </w:pPr>
            <w:r>
              <w:rPr/>
              <w:t>Approval of the 2026 ESPP</w:t>
            </w:r>
          </w:p>
        </w:tc>
        <w:tc>
          <w:tcPr>
            <w:tcW w:w="120" w:type="dxa"/>
            <w:tcBorders/>
            <w:vAlign w:val="center"/>
          </w:tcPr>
          <w:p>
            <w:pPr>
              <w:pStyle w:val="TableContents"/>
              <w:bidi w:val="0"/>
              <w:spacing w:before="0" w:after="283"/>
              <w:jc w:val="left"/>
              <w:rPr/>
            </w:pPr>
            <w:r>
              <w:rPr/>
              <w:t>  </w:t>
            </w:r>
          </w:p>
        </w:tc>
        <w:tc>
          <w:tcPr>
            <w:tcW w:w="4157" w:type="dxa"/>
            <w:tcBorders/>
            <w:vAlign w:val="center"/>
          </w:tcPr>
          <w:p>
            <w:pPr>
              <w:pStyle w:val="TableContents"/>
              <w:bidi w:val="0"/>
              <w:spacing w:before="0" w:after="283"/>
              <w:jc w:val="left"/>
              <w:rPr/>
            </w:pPr>
            <w:r>
              <w:rPr/>
              <w:t>“</w:t>
            </w:r>
            <w:r>
              <w:rPr/>
              <w:t>For” votes from a majority of the votes cast for such proposal</w:t>
            </w:r>
          </w:p>
        </w:tc>
        <w:tc>
          <w:tcPr>
            <w:tcW w:w="12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No effect</w:t>
            </w:r>
          </w:p>
        </w:tc>
      </w:tr>
      <w:tr>
        <w:trPr/>
        <w:tc>
          <w:tcPr>
            <w:tcW w:w="680" w:type="dxa"/>
            <w:tcBorders/>
            <w:vAlign w:val="center"/>
          </w:tcPr>
          <w:p>
            <w:pPr>
              <w:pStyle w:val="TableContents"/>
              <w:bidi w:val="0"/>
              <w:spacing w:before="0" w:after="283"/>
              <w:jc w:val="left"/>
              <w:rPr>
                <w:sz w:val="4"/>
                <w:szCs w:val="4"/>
              </w:rPr>
            </w:pPr>
            <w:r>
              <w:rPr>
                <w:sz w:val="4"/>
                <w:szCs w:val="4"/>
              </w:rPr>
            </w:r>
          </w:p>
        </w:tc>
        <w:tc>
          <w:tcPr>
            <w:tcW w:w="3322" w:type="dxa"/>
            <w:gridSpan w:val="2"/>
            <w:tcBorders/>
            <w:vAlign w:val="center"/>
          </w:tcPr>
          <w:p>
            <w:pPr>
              <w:pStyle w:val="TableContents"/>
              <w:bidi w:val="0"/>
              <w:spacing w:before="0" w:after="283"/>
              <w:jc w:val="left"/>
              <w:rPr>
                <w:sz w:val="4"/>
                <w:szCs w:val="4"/>
              </w:rPr>
            </w:pPr>
            <w:r>
              <w:rPr>
                <w:sz w:val="4"/>
                <w:szCs w:val="4"/>
              </w:rPr>
            </w:r>
          </w:p>
        </w:tc>
        <w:tc>
          <w:tcPr>
            <w:tcW w:w="4277" w:type="dxa"/>
            <w:gridSpan w:val="2"/>
            <w:tcBorders/>
            <w:vAlign w:val="center"/>
          </w:tcPr>
          <w:p>
            <w:pPr>
              <w:pStyle w:val="TableContents"/>
              <w:bidi w:val="0"/>
              <w:spacing w:before="0" w:after="283"/>
              <w:jc w:val="left"/>
              <w:rPr>
                <w:sz w:val="4"/>
                <w:szCs w:val="4"/>
              </w:rPr>
            </w:pPr>
            <w:r>
              <w:rPr>
                <w:sz w:val="4"/>
                <w:szCs w:val="4"/>
              </w:rPr>
            </w:r>
          </w:p>
        </w:tc>
        <w:tc>
          <w:tcPr>
            <w:tcW w:w="986" w:type="dxa"/>
            <w:gridSpan w:val="2"/>
            <w:tcBorders/>
            <w:vAlign w:val="center"/>
          </w:tcPr>
          <w:p>
            <w:pPr>
              <w:pStyle w:val="TableContents"/>
              <w:bidi w:val="0"/>
              <w:spacing w:before="0" w:after="283"/>
              <w:jc w:val="left"/>
              <w:rPr>
                <w:sz w:val="4"/>
                <w:szCs w:val="4"/>
              </w:rPr>
            </w:pPr>
            <w:r>
              <w:rPr>
                <w:sz w:val="4"/>
                <w:szCs w:val="4"/>
              </w:rPr>
            </w:r>
          </w:p>
        </w:tc>
        <w:tc>
          <w:tcPr>
            <w:tcW w:w="94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center"/>
              <w:rPr/>
            </w:pPr>
            <w:r>
              <w:rPr/>
              <w:t>6</w:t>
            </w:r>
          </w:p>
        </w:tc>
        <w:tc>
          <w:tcPr>
            <w:tcW w:w="120" w:type="dxa"/>
            <w:tcBorders/>
            <w:vAlign w:val="center"/>
          </w:tcPr>
          <w:p>
            <w:pPr>
              <w:pStyle w:val="TableContents"/>
              <w:bidi w:val="0"/>
              <w:spacing w:before="0" w:after="283"/>
              <w:jc w:val="left"/>
              <w:rPr/>
            </w:pPr>
            <w:r>
              <w:rPr/>
              <w:t>  </w:t>
            </w:r>
          </w:p>
        </w:tc>
        <w:tc>
          <w:tcPr>
            <w:tcW w:w="3202" w:type="dxa"/>
            <w:tcBorders/>
            <w:vAlign w:val="center"/>
          </w:tcPr>
          <w:p>
            <w:pPr>
              <w:pStyle w:val="TableContents"/>
              <w:bidi w:val="0"/>
              <w:spacing w:before="0" w:after="283"/>
              <w:jc w:val="left"/>
              <w:rPr/>
            </w:pPr>
            <w:r>
              <w:rPr/>
              <w:t>Approval of the adjournment or postponement of the Special Meeting, if necessary, to continue to solicit votes for Proposals Nos. 1, 2 and/or 3</w:t>
            </w:r>
          </w:p>
        </w:tc>
        <w:tc>
          <w:tcPr>
            <w:tcW w:w="120" w:type="dxa"/>
            <w:tcBorders/>
            <w:vAlign w:val="center"/>
          </w:tcPr>
          <w:p>
            <w:pPr>
              <w:pStyle w:val="TableContents"/>
              <w:bidi w:val="0"/>
              <w:spacing w:before="0" w:after="283"/>
              <w:jc w:val="left"/>
              <w:rPr/>
            </w:pPr>
            <w:r>
              <w:rPr/>
              <w:t>  </w:t>
            </w:r>
          </w:p>
        </w:tc>
        <w:tc>
          <w:tcPr>
            <w:tcW w:w="4157" w:type="dxa"/>
            <w:tcBorders/>
            <w:vAlign w:val="center"/>
          </w:tcPr>
          <w:p>
            <w:pPr>
              <w:pStyle w:val="TableContents"/>
              <w:bidi w:val="0"/>
              <w:spacing w:before="0" w:after="283"/>
              <w:jc w:val="left"/>
              <w:rPr/>
            </w:pPr>
            <w:r>
              <w:rPr/>
              <w:t>“</w:t>
            </w:r>
            <w:r>
              <w:rPr/>
              <w:t>For” votes from holders of a majority of the voting power of the shares of stock entitled to vote on such matter that are present in person or represented by proxy at the Special Meeting and are voted for or against the matter</w:t>
            </w:r>
          </w:p>
        </w:tc>
        <w:tc>
          <w:tcPr>
            <w:tcW w:w="12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No effect</w:t>
            </w:r>
          </w:p>
        </w:tc>
        <w:tc>
          <w:tcPr>
            <w:tcW w:w="12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No effect</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quorum requirement? </w:t>
      </w:r>
    </w:p>
    <w:p>
      <w:pPr>
        <w:pStyle w:val="TextBody"/>
        <w:bidi w:val="0"/>
        <w:spacing w:before="120" w:after="0"/>
        <w:jc w:val="left"/>
        <w:rPr>
          <w:rFonts w:ascii="Times New Roman" w:hAnsi="Times New Roman"/>
          <w:sz w:val="20"/>
        </w:rPr>
      </w:pPr>
      <w:r>
        <w:rPr>
          <w:rFonts w:ascii="Times New Roman" w:hAnsi="Times New Roman"/>
          <w:sz w:val="20"/>
        </w:rPr>
        <w:t xml:space="preserve">A quorum of stockholders is necessary to hold a valid meeting. A quorum is present if stockholders holding at least one-third of the voting power of the shares of stock issued and outstanding and entitled to vote are present at the Special Meeting virtually or represented by proxy. On the record date, there were 1,017,063 shares outstanding and entitled to vote. Thus, the holders of 339,021 shares must be present virtually or represented by proxy at the Special Meeting to have a quorum. </w:t>
      </w:r>
    </w:p>
    <w:p>
      <w:pPr>
        <w:pStyle w:val="TextBody"/>
        <w:bidi w:val="0"/>
        <w:spacing w:before="240" w:after="0"/>
        <w:jc w:val="left"/>
        <w:rPr>
          <w:rFonts w:ascii="Times New Roman" w:hAnsi="Times New Roman"/>
          <w:sz w:val="20"/>
        </w:rPr>
      </w:pPr>
      <w:r>
        <w:rPr>
          <w:rFonts w:ascii="Times New Roman" w:hAnsi="Times New Roman"/>
          <w:sz w:val="20"/>
        </w:rPr>
        <w:t xml:space="preserve">Your shares will be counted towards the quorum only if you submit a valid proxy (or one is submitted on your behalf by your broker, bank or other nominee) or if you vote online at the meeting. Abstentions will be counted towards the quorum requirement. If there is no quorum, either the chairman of the Special Meeting or the holders of a majority of shares present at the Special Meeting virtually or represented by proxy may adjourn the meeting to another date.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Special Meeting. In addition, final voting results will be published in a current report on Form 8-K that we expect to file within four business days after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proxy materials are available on the internet? </w:t>
      </w:r>
    </w:p>
    <w:p>
      <w:pPr>
        <w:pStyle w:val="TextBody"/>
        <w:bidi w:val="0"/>
        <w:spacing w:before="120" w:after="0"/>
        <w:jc w:val="left"/>
        <w:rPr>
          <w:rFonts w:ascii="Times New Roman" w:hAnsi="Times New Roman"/>
          <w:sz w:val="20"/>
        </w:rPr>
      </w:pPr>
      <w:r>
        <w:rPr>
          <w:rFonts w:ascii="Times New Roman" w:hAnsi="Times New Roman"/>
          <w:sz w:val="20"/>
        </w:rPr>
        <w:t xml:space="preserve">The Proxy Statement and the proxy card will be available at https://www.voteproxy.com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46981_3"/>
      <w:bookmarkEnd w:id="5"/>
      <w:r>
        <w:rPr>
          <w:rFonts w:ascii="Times New Roman" w:hAnsi="Times New Roman"/>
          <w:b/>
          <w:sz w:val="20"/>
        </w:rPr>
        <w:t xml:space="preserve">CAUTIONARY INFORMATION REGARDING 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 included in this Proxy Statement including, without limitation, statements regarding our business strategy and the plans and objectives of management for future operations, are forward-looking statements. When used in this Proxy Statement, words and phrases such as “aim,” “anticipate,” “assume,” “believe,” “can,” “continue,” “could,” “designed to,” “estimate,” “evaluate,” “expect,” “explore,” “intend,” “intended to,” “likely,” “may,” “might,” “objective,” “ongoing,” “plan,” “potential,” “predict,” “project,” “pursue,” “seek,” “should,” “to be,” “will,” and “would,” or the negative of such terms or other similar expressions, as they relate to us or our management, identify forward-looking statements. Any statements in this Proxy Statement about our expectations, beliefs, plans, objectives, assumptions or future events or performance are not historical facts and are forward-looking statements within the meaning of Section 27A of the Securities Act and Section 21E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include statements regarding: our expectations for the Board, management team, Company name and ticker if the Required Company Stockholder Matters are approved; our ability to comply with Nasdaq’s continued listing standards or, if necessary, to meet Nasdaq’s initial listing standards; the potential benefits of the Authorized Share Proposal; and the Company’s ability to realize the anticipated benefits of the Acquisition, including with respect to the development of LAM-001.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involve known and unknown risks, uncertainties and other factors that may cause our actual results, levels of activity, performance or achievements to be materially different from the information expressed or implied by these forward-looking statements. Except as required by law, we assume no obligation to update these forward-looking statements publicly, or to revise any forward-looking statements to reflect events or developments occurring after the date of this Proxy Statement, even if new information becomes available in the future. You should refer to the Risk Factors section of this Proxy Statement and of our Annual Report for a discussion of important factors that may cause our actual results to differ materially from those expressed or implied by our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46981_4"/>
      <w:bookmarkEnd w:id="6"/>
      <w:r>
        <w:rPr>
          <w:rFonts w:ascii="Times New Roman" w:hAnsi="Times New Roman"/>
          <w:b/>
          <w:sz w:val="20"/>
        </w:rPr>
        <w:t xml:space="preserve">NOTE REGARDING STOCK SPLITS AND SHARE AMOUNTS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all share amounts, per-share prices, and option exercise prices presented in this Proxy Statement give retroactive effect to (i) a 1-for-10 reverse stock split of our common stock that became effective on April 10, 2026 (the “April 2026 Reverse Stock Split”) and (ii) the 1-for-20 reverse stock split of our common stock that became effective on June 29, 2026 (the “Reverse Stock Split”). When taken together, the April 2026 Reverse Stock Split and the Reverse Stock Split result in a cumulative 1-for-200 adjustment to share counts, per-share prices, and exercise prices for periods prior to April 10, 2026. Share counts and per-share prices for periods between April 10, 2026 and June 28, 2026 give effect to the April 2026 Reverse Stock Split but not the Reverse Stock Split and have been retroactively adjusted to reflect the Reverse Stock Split for purposes of this Proxy Statement. Accordingly, historical share and per-share amounts may differ from those previously reported in our Annual Report on Form 10-K for the fiscal year ended December 31, 2025, and other prior filings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46981_5"/>
      <w:bookmarkEnd w:id="7"/>
      <w:r>
        <w:rPr>
          <w:rFonts w:ascii="Times New Roman" w:hAnsi="Times New Roman"/>
          <w:b/>
          <w:sz w:val="20"/>
        </w:rPr>
        <w:t xml:space="preserve">DESCRIPTION OF THE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Acquisition of Orphai Therapeutics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Board regularly reviewed the strategy, prospects and financial condition of the Company, including opportunities and risks associated with the Company’s product candidates and strategic alternatives potentially available to the Company. Beginning in February 2026, in light of challenging conditions in the biotechnology capital markets and the Company’s declining cash balance, the Board, together with the Company’s management, Dorsey &amp; Whitney LLP (“Dorsey”), the Company’s legal counsel, and LifeSci Capital (“LifeSci Capital”), the Company’s financial advisor, began to evaluate its restructuring activities and strategic alternatives available to the Company aimed at maximizing stockholder value, including a potential sale, business combination or liquidation, as well as licensing and other business development opportunities related to its lead product candidate, eDSP. Over the course of the following three months, the Board pursued a strategy of restructuring its indebtedness under its unsecured line of credit between Quince Therapeutics, S.p.A and the European Investment Bank (the “EIB Loan”), exploration of potential reverse merger transactions and additional funding through available financing sources to pursue strategic alternatives. During this period, LifeSci Capital and the Company’s management team reviewed more than at least nine potential reverse merger candidates transaction proposals, the proposal from Orphai Therapeutics, and the Company’s management and banking partners conducted extensive investor outreach in an effort to obtain financing. While the Company utilized its existing at-the-market offering to raise additional capital, the amount available under such a facility was limited by the Company’s stock price and the trading volume of the Company’s common stock. In addition, the Company was unable to identify viable financing options sufficient to fund the Company’s operations and exploration of strategic alternatives beyond September 2026. The Board considered the terms of the transaction proposals, including the relative valuation of the Company under each proposal, dilution of existing stockholders, likelihood of success and potential concurrent financing opportunities. </w:t>
      </w:r>
    </w:p>
    <w:p>
      <w:pPr>
        <w:pStyle w:val="TextBody"/>
        <w:bidi w:val="0"/>
        <w:spacing w:before="240" w:after="0"/>
        <w:jc w:val="left"/>
        <w:rPr>
          <w:rFonts w:ascii="Times New Roman" w:hAnsi="Times New Roman"/>
          <w:sz w:val="20"/>
        </w:rPr>
      </w:pPr>
      <w:r>
        <w:rPr>
          <w:rFonts w:ascii="Times New Roman" w:hAnsi="Times New Roman"/>
          <w:sz w:val="20"/>
        </w:rPr>
        <w:t xml:space="preserve">Following LifeSci Capital’s outreach process and the Board’s review of strategic alternatives available to the Company, including acquisition, licensing, wind-down and reverse merger alternatives, the Company focused its efforts on Orphai Therapeutics as a potential business combination partner. The Board determined that Orphai Therapeutics merited serious consideration based on the development status of Orphai Therapeutics’ lead program, LAM-001, a proprietary investigational inhaled dry powder formulation of rapamycin whose differentiated characteristics may permit treatment of conditions associated with dysfunctional mammalian target of rapamycin (“mTOR”) activity that cannot be adequately treated using a systemically delivered formulation, including oral solution or tablets, including results from its recently completed Phase 2a trial of LAM-001 in patients with pulmonary arterial hypertension and pulmonary hypertension associated with interstitial lung disease, interest in Orphai Therapeutics from a broad syndicate of investors for up to $90 million in upfront financing (which was subsequently increased to $115 million) and the opportunity to increase the potential financing amount in connection with the exercise of warrants in an acquisition transaction, the superior valuation of the Company under the Orphai Therapeutics proposal compared to other proposals received, and the accelerated timeline to closing compared to other proposals. </w:t>
      </w:r>
    </w:p>
    <w:p>
      <w:pPr>
        <w:pStyle w:val="TextBody"/>
        <w:bidi w:val="0"/>
        <w:spacing w:before="240" w:after="0"/>
        <w:jc w:val="left"/>
        <w:rPr>
          <w:rFonts w:ascii="Times New Roman" w:hAnsi="Times New Roman"/>
          <w:sz w:val="20"/>
        </w:rPr>
      </w:pPr>
      <w:r>
        <w:rPr>
          <w:rFonts w:ascii="Times New Roman" w:hAnsi="Times New Roman"/>
          <w:sz w:val="20"/>
        </w:rPr>
        <w:t xml:space="preserve">Beginning on April 9, 2026 and continuing through May 17, 2026, representatives of the Company’s management, Dorsey, LifeSci Capital, Orphai Therapeutics’ management, Cooley LLP, Orphai Therapeutics’ legal counsel, and LifeSci Capital, Orphai Therapeutics’ financial advisor, conducted business, financial, legal, tax, intellectual property and other due diligence with respect to the Company, Orphai Therapeutics and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the Company acquired Orphai Therapeutics pursuant to the Merger Agreement, pursuant to which First Merger Sub merged with and into Orphai HoldCo, pursuant to which Orphai HoldCo was the surviving corporation and became a wholly owned subsidiary of the Company. Immediately following the First Merger, Orphai HoldCo merged with and into Second Merger Sub, pursuant to which Second Merger Sub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surviving entity. The simultaneous sign-and-close structure of the Acquisition, combined with the 2026 Private Placement, preserved cash that would otherwise have been spent during a more extended closing process and enabled the financing to close more quickly and with greater certainty. </w:t>
      </w:r>
    </w:p>
    <w:p>
      <w:pPr>
        <w:pStyle w:val="TextBody"/>
        <w:bidi w:val="0"/>
        <w:spacing w:before="240" w:after="0"/>
        <w:jc w:val="left"/>
        <w:rPr>
          <w:rFonts w:ascii="Times New Roman" w:hAnsi="Times New Roman"/>
          <w:sz w:val="20"/>
        </w:rPr>
      </w:pPr>
      <w:r>
        <w:rPr>
          <w:rFonts w:ascii="Times New Roman" w:hAnsi="Times New Roman"/>
          <w:sz w:val="20"/>
        </w:rPr>
        <w:t>The Acquisition was structured as a stock-for-stock transaction pursuant to which all of Orphai Subsidiary’s outstanding equity interests were exchanged based on a fixed exchange ratio for aggregate consideration of (i) 162,971 shares of common stock (after giving effect to the Reverse Stock Split) and (ii) 67,101.235 shares of Series C Preferred Stock, each share of which is convertible into 52 shares of common stock (after giving effect to the Reverse Stock Split and representing 3,489,281 shares of common stock on an as-converted-to-common basis and without giving effect to any beneficial ownership limitations), subject to certain conditions described below under Proposal No. 1. In addition, all outstanding warrants to purchase shares of Orphai HoldCo capital stock were cancelled and exchanged, in accordance with the terms of such warrants, for PIPE Warrants to purchase an aggregate 10,964.505 shares of Series C Preferred Stock (representing an aggregate of 570,169 shares of common stock on an as-converted-to-common basis, after giving effect to the Reverse Stock Split and without giving effect to any beneficial ownership limitations) at an exercise price of $996.90 per share of Series C Preferred Stock, for up to approximately $10.9 million in proceeds to the Company upon exercise thereof and all outstanding options to purchase Orphai Subsidiary common stock were assumed by the Company and converted into options to purchase an aggregate of approximately 1,308,804 shares of common stock (after giving effect to the Reverse Stock Split). The Series C Preferred Stock was a newly designated series of preferred stock and was intended to have economic rights equivalent to our common stock, but with no voting rights. The rights of the Series C Preferred Stock are set forth in the Certificate of Designation of Series C Non-Voting Convertible Preferred Stock (the “Certificate of Designation”) that we filed with the Secretary of State of the State of Delaware. Please see “</w:t>
      </w:r>
      <w:r>
        <w:rPr>
          <w:rFonts w:ascii="Times New Roman" w:hAnsi="Times New Roman"/>
          <w:i/>
          <w:sz w:val="20"/>
        </w:rPr>
        <w:t>Description of Series C Preferred Stock</w:t>
      </w:r>
      <w:r>
        <w:rPr>
          <w:rFonts w:ascii="Times New Roman" w:hAnsi="Times New Roman"/>
          <w:sz w:val="20"/>
        </w:rPr>
        <w:t xml:space="preserve">” under Proposal No. 1 for a complete description of the Certificate of Designation and the rights of the Series C Preferred Stock. The Acquisition Transactions were approved by the Board, as well as the board of directors and stockholders of Orphai Therapeutics.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execution of the Merger Agreement, the Company and Orphai Subsidiary entered into Support Agreements with certain of our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1, 2 and 3 at the Special Meeting, subject to and in accordance with the terms of the Support Agreements. The Acquisition has already been consummated, and stockholder approval of the Acquisition or the Merger Agreement is not being sought at this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2026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Acquisition, we entered into the Purchase Agreement with the Investors with respect to the 2026 Private Placement, pursuant to which, on May 21, 2026, the Company issued and sold (i) an aggregate of 144,200.633 shares of Series C Preferred Stock, each share of which is convertible into 52 shares of common stock (after giving effect to the Reverse Stock Split and representing 7,498,447 shares on an as-converted-to-common basis and without giving effect to any beneficial ownership limitations), subject to certain conditions described below under Proposal Nos. 1 and 2, at a price of $797.50 per share of Series C Preferred Stock and (ii) PIPE Warrants to purchase 72,100.322 shares of Series C Preferred Stock (representing 3,749,231 shares of common stock on an as-converted-to-common basis, after giving effect to the Reverse Stock Split and without giving effect to any beneficial ownership limitations) at an exercise price of $996.90 per share of Series C Preferred Stock, for aggregate upfront gross proceeds of approximately $115 million, with up to an additional approximately $72 million upon exercise of the PIPE Warrants. Each Warrant will be exercisable beginning on the trading day following the earlier of the Company’s public announcement of (a) top line data from the ongoing LAM-001 Phase 2 trial of Bronchiolitis Obliterans Syndrome and (b) the termination or suspension of such trial, and through the 30th day following such public announcement. Upon approval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Company Stockholder Matters, the Warrants will become exercisable for common stock, subject to certain beneficial ownership limitations. </w:t>
      </w:r>
    </w:p>
    <w:p>
      <w:pPr>
        <w:pStyle w:val="TextBody"/>
        <w:bidi w:val="0"/>
        <w:spacing w:before="240" w:after="0"/>
        <w:jc w:val="left"/>
        <w:rPr>
          <w:rFonts w:ascii="Times New Roman" w:hAnsi="Times New Roman"/>
          <w:sz w:val="20"/>
        </w:rPr>
      </w:pPr>
      <w:r>
        <w:rPr>
          <w:rFonts w:ascii="Times New Roman" w:hAnsi="Times New Roman"/>
          <w:sz w:val="20"/>
        </w:rPr>
        <w:t xml:space="preserve">On an as-converted-to-common basis (excluding shares underlying warrants and equity awards) and after accounting for the Acquisition Transactions, the total number of outstanding shares of common stock was 1,017,063 immediately following the PIPE Closing (after giving retroactive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we entered into a Registration Rights Agreement (the “RRA”) with the Investors. Pursuant to the RRA, we are obligated to prepare and file a resale registration statement with the SEC within 75 calendar days following the closing of the 2026 Private Placement. The RRA also contains customary terms, including an obligation to indemnify the Investors and certain affiliates from certain liabilities relating to any misstatements or omissions in the resale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transactions, immediately following the PIPE Closing, equityholders of the Company immediately prior to the acquisition owned approximately 6.9% of the common stock, equityholders of Orphai Therapeutics immediately prior to the acquisition owned approximately 31.9% of the common stock and the Investors in the 2026 Private Placement owned approximately 61.2% of the common stock, in each case, calculated on a fully-diluted, as-converted-to-common basis (and without giving effect to any beneficial ownership limitations) using the treasury stock method and based on the implied equity values of the Company and Orphai Therapeutics.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the Purchase Agreement, we are required to call and hold a meeting of our stockholders, as promptly as practicable following the date of the Merger Agreement and pursuant to the Nasdaq Stock Market Rules, to obtain the requisite approval from our legacy stockholders for Proposals Nos. 1 through 6.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the Company publicly announced the Acquisition Transactions and filed a Current Report on Form 8-K attaching the Merger Agreement and related transaction documents. In that announcement, the Company stated that the Company expected to use the proceeds of the 2026 Private Placement primarily to advance LAM-001 through key clinical milestones, including Phase 2 data in Bronchiolitis Obliterans Syndrome post-lung transplant, Phase 2 data in pulmonary hypertension associated with interstitial lung disease and Phase 2 data in sarcoidosis associated pulmonary hypertension. </w:t>
      </w:r>
    </w:p>
    <w:p>
      <w:pPr>
        <w:pStyle w:val="TextBody"/>
        <w:bidi w:val="0"/>
        <w:spacing w:before="240" w:after="0"/>
        <w:jc w:val="left"/>
        <w:rPr>
          <w:rFonts w:ascii="Times New Roman" w:hAnsi="Times New Roman"/>
          <w:i/>
          <w:sz w:val="20"/>
        </w:rPr>
      </w:pPr>
      <w:r>
        <w:rPr>
          <w:rFonts w:ascii="Times New Roman" w:hAnsi="Times New Roman"/>
          <w:i/>
          <w:sz w:val="20"/>
        </w:rPr>
        <w:t xml:space="preserve">The foregoing summary of the terms of the Merger Agreement, the Certificate of Designation, the Warrants, the Purchase Agreement and the RRA are not complete and are qualified in their entirety by the provisions of Merger Agreement, the Certificate of Designation, the form of Warrant, the form of Purchase Agreement and the form of RRA, which are filed as Exhibits 2.1, 3.1, 4.1, 10.1 and 10.2, respectively, to our Current Report on Form 8-K, filed with the SEC on May 18, 2026.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Acquisition was accounted for as an asset acquisition as Orphai did not meet the definition of a business under Accounting Standard Codification Topic 805, Business Combinations (“ASC 805”) as substantially all of its value was in the IPR&amp;D asset. Accordingly, the assets and liabilities of the Company are recorded as of the Orphai Acquisition closing date at their respective carrying values, and the acquired net assets and assumed net liabilities of Orphai are recorded as of the Acquisition closing date at their fair value. The Company was determined to be the accounting acquirer based upon the terms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Orphai was determined to be a variable interest entity (“VIE”) as it was insufficiently capitalized to fund future operations, where the Company is the primary beneficiary. As such, the acquisition costs were expensed and not capitalized as part of the purchase price in accordance with ASC 805. In addition, the excess of the consideration transferred, and the fair value of the net asset acquired, IPR&amp;D, and net liabilities assumed were recorded as an asset acquisition loss and included in the loss on acquisition line item in the condensed consolidated statements of operations and comprehensive income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46981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described below, together with all of the other information contained in this Proxy Statement (including the unaudited pro forma financial information included elsewhere in this Proxy Statement), in deciding how to vote on matters being considered at the Special Meeting. In addition, for a discussion of risks relating to our business, financial condition, results of operations and industry generally, you should review the risk factors described under the caption “Risk Factors” in our Quarterly Report on Form 10-Q for the quarter ended June 30, 2026, filed with the SEC on August 14, 2026, as such risk factors may be updated from time to time in our subsequent reports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Pursuant to the terms of the Acquisition, we are required to recommend that our stockholders approve the Conversion Proposal, the Minimum Price Proposal and the Authorized Share Proposal. We cannot guarantee that our stockholders will approve these matters, and if they fail to do so we may be required to settle all outstanding shares of our Series C Preferred Stock in cash and our operations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and the Purchase Agreement, as promptly as practicable following the date of the Merger Agreement and pursuant to the Nasdaq Stock Market Rules, we are required to call and hold a meeting of our stockholders to obtain the requisite approval from our legacy stockholders for, among other things, (i) the Conversion Proposal, (ii) the Minimum Price Proposal, (iii) the Authorized Share Proposal, (iv) the 2026 Plan Proposal and (v) the 2026 ESPP Proposal. If we fail to receive sufficient proxies to constitute a quorum or to obtain the required vote on the Required Company Stockholder Matters (Proposals No. 1 through No. 3 herein) or we are otherwise required by Nasdaq Listing Rules, we would be required to adjourn or postpone the Special Meeting one or more times for up to 30 days per adjournment or postponement. If stockholder approval of the Required Company Stockholder Matters is still not obtained following such adjournment(s) or postponement(s), we will be obligated to continue soliciting stockholder approval at subsequent annual or special meetings of our stockholders, held at intervals of at least every six months, until such approvals are obtained, which would be time consuming and costly.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legacy stockholders will approve the Required Company Stockholder Matters. Additionally, if the Required Company Stockholder Matters are not approved by the date that is six months following the initial issuance date of the Series C Preferred Stock, the holders of the Series C Preferred Stock would be entitled to require us to settle their shares of our common stock underlying the Series C Preferred Stock for cash at a price per share equal to the fair value of our common stock at such time as described in the Certificate of Designation. If we are forced to cash settle a significant amount of the shares of our common stock underlying the Series C Preferred Stock, it could materially affect our results of operations,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obtain approval of the Nasdaq Listing Application, if required, could materially affect our results of operations,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we are required to use our reasonable best efforts to file an initial listing application with Nasdaq (the “Nasdaq Listing Application”) to the extent required by the Nasdaq Listing Rules and to cause such Nasdaq Listing Application to be conditionally approved prior to the date of our stockholder meeting to approve the Required Company Stockholder Matters. Approval of a Nasdaq Listing Application may be required if Nasdaq determines there is a “change of control” Nasdaq Listing Rule 5110(a). If we fail to meet the Nasdaq initial listing requirements and Nasdaq does not approve the Nasdaq Listing Application if and when required, we may be required to adjourn or postpone our stockholder meeting to approve the Required Company Stockholder Matters one or more times for up to 30 days per adjournment, continue to use our reasonable best efforts to obtain approval of the Nasdaq Listing Application and to continue soliciting stockholder approval of the Required Company Stockholder Matters at subsequent annual or special meetings of our stockholders, held at intervals of at least every six months, until such approval and the approval of the Required Company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Matters are obtained, which would be time consuming and costly. Additionally, if the Required Company Stockholder Matters are not approved by the date that is six months following the initial issuance date of the Series C Preferred Stock, the holders of the Series C Preferred Stock would be entitled to require us to settle their shares of Series C Preferred Stock for cash at a price per share equal to the fair value of the Series C Preferred Stock at such time as described in the Certificate of Designation. If we are forced to cash settle a significant amount of the shares of our common stock underlying the Series C Preferred Stock, it could materially affect our results of operations, business and financial condition. We cannot assure you that we will be able to meet Nasdaq’s initial listing standards if required. We filed the Nasdaq Listing Application and if we fail to obtain approval of the Nasdaq Listing Application, we may be unable to execute on our plans for the Company following the Acquisition, which could materially affect our results of operations,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included in this Proxy Statement are presented for illustrative purposes only and may not be an indication of our financial condition or results of operations following the automatic conversion of the Series C Preferred Stock if the Required Company Stockholder Matters are approved.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contained in this Proxy Statement as Annex A is presented for illustrative purposes only and may not be an indication of our financial condition following the automatic conversion of the Series C Preferred Stock if the Required Company Stockholder Matters are approved for several reasons. The unaudited pro forma condensed combined financial information has been derived from the historical unaudited financial statements of the Company as of June 30, 2026 and certain adjustments and assumptions have been made regarding the Company after giving effect to the automatic conversion of the Series C Preferred Stock if the Required Company Stockholder Matters are approved. The information upon which these adjustments and assumptions have been made is preliminary, and these kinds of adjustments and assumptions are difficult to make with accuracy. Moreover, the unaudited pro forma condensed combined financial information does not reflect all costs that are expected to be incurred by us in connection with the automatic conversion of the Series C Preferred Stock if the Required Company Stockholder Matters are approved. As a result, the actual financial condition of the combined company following the automatic conversion of the Series C Preferred Stock if the Required Company Stockholder Matters are approved may not be consistent with, or evident from, the unaudited pro forma condensed combined financial information. The assumptions used in preparing the unaudited pro forma condensed combined financial information may not prove to be accurate, and other factors may affect our financial condition following the automatic conversion of the Series C Preferred Stock if the Required Company Stockholder Matters are approved. For more information, please see Annex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46981_7"/>
      <w:bookmarkEnd w:id="9"/>
      <w:r>
        <w:rPr>
          <w:rFonts w:ascii="Times New Roman" w:hAnsi="Times New Roman"/>
          <w:b/>
          <w:sz w:val="20"/>
        </w:rPr>
        <w:t xml:space="preserve">PROPOSAL NO. 1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ISSUANCE OF COMMON STOCK UPON CONVERSION OF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we issued (i) in the Acquisition, (a) an aggregate of 162,971 shares of common stock, (b) an aggregate of 67,101.235 shares of Series C Preferred Stock (representing 3,489,281 shares of common stock on an as-converted-to-common basis, after giving effect to the Reverse Stock Split and without giving effect to any beneficial ownership limitations), and (c) Acquisition Warrants to purchase up to an aggregate of 10,964.505 shares of Series C Preferred Stock (representing an aggregate of 570,169 shares of common stock on an as-converted-to-common basis, after giving effect to the Reverse Stock Split and without giving effect to any beneficial ownership limitations) and (ii) in the 2026 Private Placement, (a) an aggregate of 144,200.633 shares of Series C Preferred Stock (representing 7,498,447 shares of common stock on an as-converted-to-common basis, after giving effect to the Reverse Stock Split and without giving effect to any beneficial ownership limitations) and (b) PIPE Warrants to purchase up to an aggregate of 72,100.322 shares of Series C Preferred Stock (representing 3,749,231 shares of common stock on an as-converted-to-common basis, after giving effect to the Reverse Stock Split and without giving effect to any beneficial ownership limitations). In addition, in the Acquisition, we assumed the Orphai Options, which will become exercisable for up to an aggregate of 1,308,804 shares of common stock (after giving effect to the Reverse Stock Split) upon approval of the Required Company Stockholder Matters. </w:t>
      </w:r>
    </w:p>
    <w:p>
      <w:pPr>
        <w:pStyle w:val="TextBody"/>
        <w:bidi w:val="0"/>
        <w:spacing w:before="240" w:after="0"/>
        <w:jc w:val="left"/>
        <w:rPr>
          <w:rFonts w:ascii="Times New Roman" w:hAnsi="Times New Roman"/>
          <w:sz w:val="20"/>
        </w:rPr>
      </w:pPr>
      <w:r>
        <w:rPr>
          <w:rFonts w:ascii="Times New Roman" w:hAnsi="Times New Roman"/>
          <w:sz w:val="20"/>
        </w:rPr>
        <w:t xml:space="preserve">The Series C Preferred Stock is intended to have rights that are generally equivalent to our common stock, provided that the Series C Preferred Stock does not have the right to vote on most matters (including the election of directors or any proposals herein). The shares of Series C Preferred Stock will automatically convert into an aggregate of 10,987,728 shares of common stock upon the third business day following receipt of approval of the Required Company Stockholder Matters in accordance with Nasdaq listing rules up to the beneficial ownership limitations set by each holder. </w:t>
      </w:r>
    </w:p>
    <w:p>
      <w:pPr>
        <w:pStyle w:val="TextBody"/>
        <w:bidi w:val="0"/>
        <w:spacing w:before="240" w:after="0"/>
        <w:jc w:val="left"/>
        <w:rPr>
          <w:rFonts w:ascii="Times New Roman" w:hAnsi="Times New Roman"/>
          <w:sz w:val="20"/>
        </w:rPr>
      </w:pPr>
      <w:r>
        <w:rPr>
          <w:rFonts w:ascii="Times New Roman" w:hAnsi="Times New Roman"/>
          <w:sz w:val="20"/>
        </w:rPr>
        <w:t xml:space="preserve">Nasdaq Listing Rule 5110 may require that the Company submit, and Nasdaq approve, the Nasdaq Listing Application prior to there being a “change of control”. We filed the Nasdaq Initial Listing Application with Nasdaq. The approval being sought in this Proposal No. 1, along with the filing of the Nasdaq Listing Application with Nasdaq is intended to satisfy this obligation of the Company. If the Nasdaq Listing Application is not approved, the Company will be prohibited from taking any actions, that together with the conversion of the Series C Preferred Stock, would constitute a “change of control” under Nasdaq Listing Rule 5110 until such time as such Nasdaq Listing Application is approved.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Nasdaq Listing Application and compliance with the initial listing standards of Nasdaq, Annex A of this Proxy Statement sets forth certain unaudited pro forma financial information for the Company as of June 30, 2026, after giving effect to the automatic conversion of all of the Series C Preferred Stock into common stock following stockholder approval of the Required Company Stockholder Matters. </w:t>
      </w:r>
    </w:p>
    <w:p>
      <w:pPr>
        <w:pStyle w:val="TextBody"/>
        <w:bidi w:val="0"/>
        <w:spacing w:before="360" w:after="0"/>
        <w:jc w:val="left"/>
        <w:rPr>
          <w:rFonts w:ascii="Times New Roman" w:hAnsi="Times New Roman"/>
          <w:b/>
          <w:sz w:val="20"/>
        </w:rPr>
      </w:pPr>
      <w:r>
        <w:rPr>
          <w:rFonts w:ascii="Times New Roman" w:hAnsi="Times New Roman"/>
          <w:b/>
          <w:sz w:val="20"/>
        </w:rPr>
        <w:t xml:space="preserve">Shares Issuable Upon Conversion and Exercise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 table summarizing the issued and outstanding shares of Series C Preferred Stock, Orphai Options and the number of Series C Preferred Stock underlying issued and outstanding Warrants, and the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shares of common stock that are potentially issuable upon conversion of the Series C Preferred Stock and exercise of the Warrants and Orphai Options. The sale into the public market of the underlying common stock could materially and adversely affect the market price of our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15"/>
        <w:gridCol w:w="120"/>
        <w:gridCol w:w="60"/>
        <w:gridCol w:w="1115"/>
        <w:gridCol w:w="60"/>
        <w:gridCol w:w="120"/>
        <w:gridCol w:w="60"/>
        <w:gridCol w:w="1220"/>
        <w:gridCol w:w="60"/>
        <w:gridCol w:w="120"/>
        <w:gridCol w:w="60"/>
        <w:gridCol w:w="1220"/>
        <w:gridCol w:w="75"/>
      </w:tblGrid>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Acquisition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b/>
              </w:rPr>
              <w:t>2026</w:t>
            </w:r>
            <w:r>
              <w:rPr/>
              <w:br/>
            </w:r>
            <w:r>
              <w:rPr>
                <w:b/>
              </w:rPr>
              <w:t>Private</w:t>
            </w:r>
            <w:r>
              <w:rPr/>
              <w:br/>
            </w:r>
            <w:r>
              <w:rPr>
                <w:b/>
              </w:rPr>
              <w:t>Placement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 Issued and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67,101.235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144,200.633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211,301.868</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 Issuable Upon Exercise of Issued and Outstanding Warrants(1)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10,964.505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72,100.322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83,064.827</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(as converted, including the Warrants and the Series C Preferred Stock)(2)(3)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4,059,450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11,247,678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15,307,128</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Issuable Upon Exercise of Orphai Options(3)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1,308,804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1,308,804</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Stock Issuable(2)(3)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5,368,254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11,247,678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16,615,932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conversion of the Series C Preferred Stock into common stock, the Warrants will be exercisable for shares of common stock or the shares of Series C Preferred Stock issued upon exercise thereof will be convertible into shares of common stock, in each case, subject to certain beneficial ownership limitations. </w:t>
            </w:r>
          </w:p>
        </w:tc>
      </w:tr>
    </w:tbl>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(2)</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give effect to any beneficial ownership limitations. </w:t>
            </w:r>
          </w:p>
        </w:tc>
      </w:tr>
    </w:tbl>
    <w:tbl>
      <w:tblPr>
        <w:tblW w:w="3535" w:type="dxa"/>
        <w:jc w:val="left"/>
        <w:tblInd w:w="0" w:type="dxa"/>
        <w:tblLayout w:type="fixed"/>
        <w:tblCellMar>
          <w:top w:w="0" w:type="dxa"/>
          <w:left w:w="0" w:type="dxa"/>
          <w:bottom w:w="0" w:type="dxa"/>
          <w:right w:w="0" w:type="dxa"/>
        </w:tblCellMar>
      </w:tblPr>
      <w:tblGrid>
        <w:gridCol w:w="305"/>
        <w:gridCol w:w="3230"/>
      </w:tblGrid>
      <w:tr>
        <w:trPr/>
        <w:tc>
          <w:tcPr>
            <w:tcW w:w="305" w:type="dxa"/>
            <w:tcBorders/>
            <w:vAlign w:val="center"/>
          </w:tcPr>
          <w:p>
            <w:pPr>
              <w:pStyle w:val="TableContents"/>
              <w:bidi w:val="0"/>
              <w:spacing w:before="0" w:after="283"/>
              <w:jc w:val="left"/>
              <w:rPr/>
            </w:pPr>
            <w:r>
              <w:rPr/>
              <w:t>(3)</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effect to the Reverse Stock Split.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Series C Preferred Stock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summary of the terms of the Series C Preferred Stock is not complete and is qualified in its entirety by the provisions of the Certificate of Designation, which is filed as Exhibit 3.1 to our Current Report on Form 8-K, filed with the SEC on May 18, 2026. </w:t>
      </w:r>
    </w:p>
    <w:p>
      <w:pPr>
        <w:pStyle w:val="TextBody"/>
        <w:bidi w:val="0"/>
        <w:spacing w:before="240" w:after="0"/>
        <w:jc w:val="left"/>
        <w:rPr>
          <w:rFonts w:ascii="Times New Roman" w:hAnsi="Times New Roman"/>
          <w:sz w:val="20"/>
        </w:rPr>
      </w:pPr>
      <w:r>
        <w:rPr>
          <w:rFonts w:ascii="Times New Roman" w:hAnsi="Times New Roman"/>
          <w:b/>
          <w:i/>
          <w:sz w:val="20"/>
        </w:rPr>
        <w:t>Conversion.</w:t>
      </w:r>
      <w:r>
        <w:rPr>
          <w:rFonts w:ascii="Times New Roman" w:hAnsi="Times New Roman"/>
          <w:sz w:val="20"/>
        </w:rPr>
        <w:t xml:space="preserve"> Following stockholder approval of the Required Company Stockholder Matters, effective as of 5:00 p.m. (Eastern time) on the third business day after the date on which such stockholder approval is received, each outstanding share of Series C Preferred Stock will automatically convert into 52 shares of common stock, after giving effect to the Reverse Stock Split and subject to certain beneficial ownership limitations, including that a holder of Series C Preferred Stock is prohibited from converting shares of Series C Preferred Stock into shares of common stock if, as a result of such conversion, such holder, together with its affiliates, would beneficially own more than a specified percentage (initially set by the holder to a number between 4.99% and 19.99% and thereafter adjusted) of the total number of shares of common stock issued and outstanding immediately after giving effect to such conversion. If any shares of Series C Preferred Stock continue to be outstanding following such automatic conversion due to the application of beneficial ownership limitations, such shares of Series C Preferred Stock will be convertible at the option of the holder, subject to such beneficial ownership limitations. </w:t>
      </w:r>
    </w:p>
    <w:p>
      <w:pPr>
        <w:pStyle w:val="TextBody"/>
        <w:bidi w:val="0"/>
        <w:spacing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Except as otherwise required by the Certificate of Designation or the General Corporation Law of the State of Delaware (“DGCL”), the Series C Preferred Stock does not have voting rights. However, as long as any shares of Series C Preferred Stock are outstanding, we will not, without the affirmative vote of the holders of a majority of the then outstanding shares of the Series C Preferred Stock, (i) alter or change adversely the powers, preferences or rights given to the Series C Preferred Stock, or alter or amend the Certificate of Designation, amend or repeal any provision of, or add any provision to, our certificate of incorporation or bylaws, or file any articles of amendment, certificate of designations, preferences, limitations and relative rights of any series of our preferred stock, in each case, if such action would adversely alter or change the preferences, rights, privileges or powers of, or restrictions provided for the benefit of the Series C Preferred Stock, regardless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whether any of the foregoing actions shall be by means of amendment to our certificate of incorporation or by merger, consolidation, recapitalization, reclassification, conversion or otherwise, (ii) issue further shares of Series C Preferred Stock or increase or decrease (other than by conversion) the number of authorized shares of Series C Preferred Stock, (iii) prior to receipt of stockholder approval of the Required Company Stockholder Matters, consummate either (A) any Fundamental Transaction (as defined in the Certificate of Designation) or (B) any merger or consolidation of the Company or any stock sale to or other business combination (including, without limitation, a reorganization, recapitalization, spin-off, share exchange or scheme of arrangement) with or into another person in which our stockholders immediately before such transaction do not hold at least a majority of our capital stock immediately after such transaction or in which the Company issues securities in such transaction that represent or are convertible into securities representing more than a majority of the voting power of the Company immediately before such transaction (a “Change of Control Transaction”), (iv) prior to receipt of stockholder approval of the Required Company Stockholder Matters, authorize or issue any class or series of stock that has powers, preferences or rights that are senior to those of the Series C Preferred Stock, (v) amend, waive or modify the Merger Agreement in any manner that would be reasonably likely to prevent, impede or materially delay the receipt of stockholder approval of the Required Company Stockholder Matters or the automatic conversion of the Series C Preferred Stock, or (vi) enter into any agreement with respect to any of the foregoing. </w:t>
      </w:r>
    </w:p>
    <w:p>
      <w:pPr>
        <w:pStyle w:val="TextBody"/>
        <w:bidi w:val="0"/>
        <w:spacing w:before="240" w:after="0"/>
        <w:jc w:val="left"/>
        <w:rPr>
          <w:rFonts w:ascii="Times New Roman" w:hAnsi="Times New Roman"/>
          <w:sz w:val="20"/>
        </w:rPr>
      </w:pPr>
      <w:r>
        <w:rPr>
          <w:rFonts w:ascii="Times New Roman" w:hAnsi="Times New Roman"/>
          <w:b/>
          <w:i/>
          <w:sz w:val="20"/>
        </w:rPr>
        <w:t xml:space="preserve">Cash Settlement. </w:t>
      </w:r>
      <w:r>
        <w:rPr>
          <w:rFonts w:ascii="Times New Roman" w:hAnsi="Times New Roman"/>
          <w:sz w:val="20"/>
        </w:rPr>
        <w:t xml:space="preserve">If, at any time after the earlier of (i) receipt of approval of the Required Company Stockholder Matters and (ii) November 18, 2026, the Company fails to deliver to the holder of shares of Series C Preferred Stock a certificate or certificates representing shares of common stock, or electronically deliver (or cause its transfer agent to electronically deliver) such shares, on or prior to the first trading day after the applicable Share Delivery Date (as defined in the Certificate of Designation), subject to certain limited exceptions, the Company shall, at the request of the holder of the shares of Series C Preferred Stock, pay an amount in cash by wire transfer of immediately available funds equal to the Fair Value (as defined below) of such undelivered shares, with such payment to be made within two business days from the date of request by such holder, whereupon the Company’s obligations to deliver such shares underlying the Notice of Conversion (as defined in the Certificate of Designation) shall be extinguished upon payment in full of the Fair Value of such undelivered shares. The cash settlement provisions set forth in the Certificate of Designation shall be available irrespective of the reason for the Company’s failure to timely deliver the applicable shares of common stock including due to the lack of obtaining the approval of the Required Company Stockholder Matters. The “Fair Value” of shares shall be fixed with reference to the last reported closing sale price on the Nasdaq Global Select Market, or other principal trading market on which the Company’s common stock is listed, as of the trading day immediately prior to the date on which the Notice of Conversion is delivered to the Company.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b/>
          <w:sz w:val="20"/>
        </w:rPr>
        <w:t>.</w:t>
      </w:r>
      <w:r>
        <w:rPr>
          <w:rFonts w:ascii="Times New Roman" w:hAnsi="Times New Roman"/>
          <w:sz w:val="20"/>
        </w:rPr>
        <w:t xml:space="preserve"> Holders of Series C Preferred Stock are entitled to receive dividends on shares of Series C Preferred Stock equal, on an as-if-converted-to-common stock basis, and in the same form as dividends actually paid on shares of our common stock. </w:t>
      </w:r>
    </w:p>
    <w:p>
      <w:pPr>
        <w:pStyle w:val="TextBody"/>
        <w:bidi w:val="0"/>
        <w:spacing w:before="240" w:after="0"/>
        <w:jc w:val="left"/>
        <w:rPr>
          <w:rFonts w:ascii="Times New Roman" w:hAnsi="Times New Roman"/>
          <w:sz w:val="20"/>
        </w:rPr>
      </w:pPr>
      <w:r>
        <w:rPr>
          <w:rFonts w:ascii="Times New Roman" w:hAnsi="Times New Roman"/>
          <w:b/>
          <w:i/>
          <w:sz w:val="20"/>
        </w:rPr>
        <w:t>Liquidation and Dissolution.</w:t>
      </w:r>
      <w:r>
        <w:rPr>
          <w:rFonts w:ascii="Times New Roman" w:hAnsi="Times New Roman"/>
          <w:sz w:val="20"/>
        </w:rPr>
        <w:t xml:space="preserve"> The Series C Preferred Stock ranks on parity with our common stock upon any liquidation, dissolution or winding-up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Warrants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summary of the terms of the Warrants is not complete and is qualified in its entirety by the provisions of the Warrants, a form of which is filed as Exhibit 4.1 to our Current Report on Form 8-K, filed with the SEC on May 18, 2026. </w:t>
      </w:r>
    </w:p>
    <w:p>
      <w:pPr>
        <w:pStyle w:val="TextBody"/>
        <w:bidi w:val="0"/>
        <w:spacing w:before="240" w:after="0"/>
        <w:jc w:val="left"/>
        <w:rPr>
          <w:rFonts w:ascii="Times New Roman" w:hAnsi="Times New Roman"/>
          <w:sz w:val="20"/>
        </w:rPr>
      </w:pPr>
      <w:r>
        <w:rPr>
          <w:rFonts w:ascii="Times New Roman" w:hAnsi="Times New Roman"/>
          <w:b/>
          <w:i/>
          <w:sz w:val="20"/>
        </w:rPr>
        <w:t xml:space="preserve">Exercisability. </w:t>
      </w:r>
      <w:r>
        <w:rPr>
          <w:rFonts w:ascii="Times New Roman" w:hAnsi="Times New Roman"/>
          <w:sz w:val="20"/>
        </w:rPr>
        <w:t xml:space="preserve">The Warrants are exercisable at any time and from time to time beginning on or after the trading day following the earlier of our public disclosure of (i) topline results from our ongoing LAM-001 Phase 2 trial of Bronchiolitis Obliterans Syndrome (the “LAM-001 Trial”) and (ii) the termination or suspension of the LAM-001 Trial (such date, as applicable, the “Triggering Event”) and through (and including) the 30th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applicable Triggering Event (the “Termination Date”) but not thereafter. We currently anticipate announcing topline results from the LAM-001 Trial in the first quarter of 2027. </w:t>
      </w:r>
    </w:p>
    <w:p>
      <w:pPr>
        <w:pStyle w:val="TextBody"/>
        <w:bidi w:val="0"/>
        <w:spacing w:before="240" w:after="0"/>
        <w:jc w:val="left"/>
        <w:rPr>
          <w:rFonts w:ascii="Times New Roman" w:hAnsi="Times New Roman"/>
          <w:sz w:val="20"/>
        </w:rPr>
      </w:pPr>
      <w:r>
        <w:rPr>
          <w:rFonts w:ascii="Times New Roman" w:hAnsi="Times New Roman"/>
          <w:b/>
          <w:i/>
          <w:sz w:val="20"/>
        </w:rPr>
        <w:t xml:space="preserve">Shares Issuable Upon Exercise. </w:t>
      </w:r>
      <w:r>
        <w:rPr>
          <w:rFonts w:ascii="Times New Roman" w:hAnsi="Times New Roman"/>
          <w:sz w:val="20"/>
        </w:rPr>
        <w:t xml:space="preserve">The Warrants are initially exercisable for shares of Series C Preferred Stock. Following approval of the Required Company Stockholder Matters and the filing and effectiveness of the amendment to our Amended and Restated Certificate of Incorporation described in Proposal No. 3, the Warrants will also be exercisable for shares of common stock or the Series C Preferred Stock issued upon exercise thereof will be convertible into shares of common stock, in each case, subject to certain beneficial ownership limitations, including that a holder of Warrants is prohibited from exercising a Warrant for shares of common stock if, as a result of such exercise, such holder, together with its affiliates, would beneficially own more than a specified percentage (initially set by the holder to a number between 4.99% and 19.99% and thereafter adjusted) of the total number of shares of common stock issued and outstanding immediately after giving effect to such exercise. To the extent any beneficial ownership limitations apply, the Warrants will be exercisable for shares of Series C Preferred Stock for any amount that would exceed such limitation. </w:t>
      </w:r>
    </w:p>
    <w:p>
      <w:pPr>
        <w:pStyle w:val="TextBody"/>
        <w:bidi w:val="0"/>
        <w:spacing w:before="240" w:after="0"/>
        <w:jc w:val="left"/>
        <w:rPr>
          <w:rFonts w:ascii="Times New Roman" w:hAnsi="Times New Roman"/>
          <w:sz w:val="20"/>
        </w:rPr>
      </w:pPr>
      <w:r>
        <w:rPr>
          <w:rFonts w:ascii="Times New Roman" w:hAnsi="Times New Roman"/>
          <w:b/>
          <w:i/>
          <w:sz w:val="20"/>
        </w:rPr>
        <w:t xml:space="preserve">Exercise Price. </w:t>
      </w:r>
      <w:r>
        <w:rPr>
          <w:rFonts w:ascii="Times New Roman" w:hAnsi="Times New Roman"/>
          <w:sz w:val="20"/>
        </w:rPr>
        <w:t xml:space="preserve">The exercise price of the Warrants is $996.90 per share of Series C Preferred Stock for up to an aggregate of approximately $82.8 million upon exercise of the Warrants. The Warrants may only be exercised for cash. </w:t>
      </w:r>
    </w:p>
    <w:p>
      <w:pPr>
        <w:pStyle w:val="TextBody"/>
        <w:bidi w:val="0"/>
        <w:spacing w:before="240" w:after="0"/>
        <w:jc w:val="left"/>
        <w:rPr>
          <w:rFonts w:ascii="Times New Roman" w:hAnsi="Times New Roman"/>
          <w:sz w:val="20"/>
        </w:rPr>
      </w:pPr>
      <w:r>
        <w:rPr>
          <w:rFonts w:ascii="Times New Roman" w:hAnsi="Times New Roman"/>
          <w:b/>
          <w:i/>
          <w:sz w:val="20"/>
        </w:rPr>
        <w:t xml:space="preserve">Forfeiture Provisions. </w:t>
      </w:r>
      <w:r>
        <w:rPr>
          <w:rFonts w:ascii="Times New Roman" w:hAnsi="Times New Roman"/>
          <w:sz w:val="20"/>
        </w:rPr>
        <w:t xml:space="preserve">Except in limited circumstances, any transfer of any number of shares of Series C Preferred Stock issued to the holder of the Warrant in connection with the Purchase Agreement, shares of Series C Preferred Stock issued to such holder in exchange for such holder’s Orphai HoldCo common stock, which Orphai HoldCo common stock was issued to such holder upon conversion of such holder’s Orphai HoldCo convertible notes in accordance with Section 1.9(b) of the Merger Agreement, or any shares of common stock issuable upon conversion of any such shares of Series C Preferred Stock (as applicable), shall result in the automatic, pro rata forfeiture of a corresponding portion of shares of Series C Preferred Stock or common stock, as applicable, issuable upon the exercise of such holder’s Warrant. </w:t>
      </w:r>
    </w:p>
    <w:p>
      <w:pPr>
        <w:pStyle w:val="TextBody"/>
        <w:bidi w:val="0"/>
        <w:spacing w:before="240" w:after="0"/>
        <w:jc w:val="left"/>
        <w:rPr>
          <w:rFonts w:ascii="Times New Roman" w:hAnsi="Times New Roman"/>
          <w:sz w:val="20"/>
        </w:rPr>
      </w:pPr>
      <w:r>
        <w:rPr>
          <w:rFonts w:ascii="Times New Roman" w:hAnsi="Times New Roman"/>
          <w:b/>
          <w:i/>
          <w:sz w:val="20"/>
        </w:rPr>
        <w:t xml:space="preserve">Expiration. </w:t>
      </w:r>
      <w:r>
        <w:rPr>
          <w:rFonts w:ascii="Times New Roman" w:hAnsi="Times New Roman"/>
          <w:sz w:val="20"/>
        </w:rPr>
        <w:t xml:space="preserve">As described above, the Warrants will expire on the Termination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Orphai Options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summary of the assumption and conversion of the Orphai Options is not complete and is qualified in its entirety by the provisions of the Merger Agreement, which is filed as Exhibit 2.1 to our Current Report on Form 8-K, filed with the SEC on May 18, 2026.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Merger Agreement, at the effective time of the First Merger (the “First Effective Time”), each Orphai Option that was outstanding and unexercised was assumed by us and converted into an option to purchase common stock with (i) the number of shares underlying such option determined by multiplying (a) the number of shares of Orphai Subsidiary common stock that were subject to the corresponding Orphai Option, as in effect immediately prior to the First Effective Time, by (b) the Exchange Ratio (as defined in the Merger Agreement), and rounding the resulting number down to the nearest whole number of shares of common stock, and (ii) the per share exercise price for the common stock issuable upon exercise of each Orphai Option was determined by dividing (a) the per share exercise price of Orphai Subsidiary common stock subject to the corresponding Orphai Option, as in effect immediately prior to the First Effective Time, by (b) the Exchange Ratio and rounding the resulting exercise price up to the nearest whole cent, which number of shares and exercise prices were further adjusted based on the Reverse Stock Split. </w:t>
      </w:r>
    </w:p>
    <w:p>
      <w:pPr>
        <w:pStyle w:val="TextBody"/>
        <w:bidi w:val="0"/>
        <w:spacing w:before="240" w:after="0"/>
        <w:jc w:val="left"/>
        <w:rPr>
          <w:rFonts w:ascii="Times New Roman" w:hAnsi="Times New Roman"/>
          <w:sz w:val="20"/>
        </w:rPr>
      </w:pPr>
      <w:r>
        <w:rPr>
          <w:rFonts w:ascii="Times New Roman" w:hAnsi="Times New Roman"/>
          <w:sz w:val="20"/>
        </w:rPr>
        <w:t>Following our assumption of the Orphai Options, the terms thereof (including, but not limited to, the expiration date, restrictions on exercisability, and vesting schedule) otherwise remained unchanged; </w:t>
      </w:r>
      <w:r>
        <w:rPr>
          <w:rFonts w:ascii="Times New Roman" w:hAnsi="Times New Roman"/>
          <w:i/>
          <w:sz w:val="20"/>
        </w:rPr>
        <w:t>provided,</w:t>
      </w:r>
      <w:r>
        <w:rPr>
          <w:rFonts w:ascii="Times New Roman" w:hAnsi="Times New Roman"/>
          <w:sz w:val="20"/>
        </w:rPr>
        <w:t xml:space="preserve"> that, (i) in the case of any Orphai Option that subject to Section 421 of the United States Internal Revenue Code of 1986, as amended (the “Code”) as of the First Effective Time by reason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qualification under Section 422 of the Code, the per share exercise price, the number of shares of common stock subject to such Orphai Option and the terms and conditions of such Orphai Option were determined in a manner consistent with the requirements of Section 424(a) of the Code; and (ii) the exercise price, the number of shares of common stock subject to, and the terms and conditions of exercise of each Orphai Option were also determined in a manner consistent with the requirements of Section 409A of the Code; </w:t>
      </w:r>
      <w:r>
        <w:rPr>
          <w:rFonts w:ascii="Times New Roman" w:hAnsi="Times New Roman"/>
          <w:i/>
          <w:sz w:val="20"/>
        </w:rPr>
        <w:t>provided, further</w:t>
      </w:r>
      <w:r>
        <w:rPr>
          <w:rFonts w:ascii="Times New Roman" w:hAnsi="Times New Roman"/>
          <w:sz w:val="20"/>
        </w:rPr>
        <w:t xml:space="preserve">, that: (a) no Orphai Option is exercisable until the date on which the Required Company Stockholder Matters are approved; (b) the terms of the Orphai Options were further amended, as needed, to reflect such assumption by us (including that any change in control or similar definition relate to us instead of Orphai and any provision that provides for the adjustment of the Orphai Options upon the occurrence of certain corporate events of Orphai relate to similar corporate events of us instead); and (c) our Board or a committee thereof succeeded to the authority and responsibility of the Orphai board of directors or any committee thereof with respect to each Orphai Option.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Following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the Required Company Stockholder Matters are approved, (i) Brigette Roberts, M.D., our current Chief Corporate Affairs Officer, is expected to be appointed as our Chief Executive Officer, (ii) John Militello, our current Head of Finance, is expected to be appointed as our Chief Financial Officer and (iii) Keith Fandrick, our current Head of Technical Operations, is expected to be appointed as our Chief Operating Officer. Each of Dirk Thye, our Chief Executive Officer, Chief Medical Officer and member of our Board, and Brendan Hannah, our Chief Operating Officer, Chief Business Officer and Chief Compliance Officer, have tendered their resignations, which resignations are conditioned upon the receipt of stockholder approval of the Required Company Stockholder Matters and will become effective two business days after the date of the Special Meeting, or September 29, 2026. The Board approved a reduction in the size of the Board from five directors to four directors immediately upon effectiveness of Dr. Thye’s resignation. The Board continues to consider potential director candidates and intends to appoint an independent director to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Expected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29, 2026, Dr. Thye tendered his resignation as our Chief Executive Officer, Chief Medical Officer and member of our Board, which resignation is conditioned upon the receipt of stockholder approval of the Required Company Stockholder Matters and will become effective two business days after the date of the Special Meeting, or September 29, 2026. The Board has appointed Dr. Roberts as our Chief Executive Officer, which appointment is conditioned upon the effectiveness of the resignation of Mr. Thye. Dr. Roberts will serve as the Company’s Principal Executive Officer upon her appointment. </w:t>
      </w:r>
    </w:p>
    <w:p>
      <w:pPr>
        <w:pStyle w:val="TextBody"/>
        <w:bidi w:val="0"/>
        <w:spacing w:before="360" w:after="0"/>
        <w:jc w:val="left"/>
        <w:rPr>
          <w:rFonts w:ascii="Times New Roman" w:hAnsi="Times New Roman"/>
          <w:i/>
          <w:sz w:val="20"/>
        </w:rPr>
      </w:pPr>
      <w:r>
        <w:rPr>
          <w:rFonts w:ascii="Times New Roman" w:hAnsi="Times New Roman"/>
          <w:i/>
          <w:sz w:val="20"/>
        </w:rPr>
        <w:t xml:space="preserve">Brigette Roberts, M.D., age 50 </w:t>
      </w:r>
    </w:p>
    <w:p>
      <w:pPr>
        <w:pStyle w:val="TextBody"/>
        <w:bidi w:val="0"/>
        <w:spacing w:before="120" w:after="0"/>
        <w:jc w:val="left"/>
        <w:rPr>
          <w:rFonts w:ascii="Times New Roman" w:hAnsi="Times New Roman"/>
          <w:sz w:val="20"/>
        </w:rPr>
      </w:pPr>
      <w:r>
        <w:rPr>
          <w:rFonts w:ascii="Times New Roman" w:hAnsi="Times New Roman"/>
          <w:sz w:val="20"/>
        </w:rPr>
        <w:t xml:space="preserve">Dr. Roberts has served as our Chief Corporate Affairs Officer and member of our Board since the closing of the Acquisition. Prior to that, she served as the Chief Executive Officer and member of the Board of Directors of Orphai from May 2021 until the closing of the Acquisition, and prior to that she served as the Chief Medical Officer of Orphai from February 2021 until May 2021. During her time at Orphai, Dr. Roberts built a differentiated pulmonary franchise centered on LAM-001, an inhaled formulation of rapamycin for pulmonary vascular and fibrotic lung diseases, initiated two Phase 2 studies of LAM-001, secured U.S. and EU orphan drug designations for LAM-001 across multiple indications and raised more than $45 million in new private investment. Prior to Orphai, Dr. Roberts served as an Entrepreneur in Residence at Fortress Biotech from 2017 to January 2021 where she identified new assets to spin into new biotechnology companies. Prior to that, Dr. Roberts spent over 15 years as a healthcare investor and portfolio manager including at CDP Capital, Angel Lane Principal Strategies, YYC Capital (which she founded), Third Point, LLC and DKR Capital. Dr. Roberts also served as a director of Ligand Pharmaceuticals from December 2005 to February 2007.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 Roberts holds a B.A. in Physics and Chemistry from Harvard University and an M.D. from New York University. We believe Dr. Roberts’ extensive experience in the biotechnology industry as an executive officer, investor, as well as her medical training qualifies her to serve as a director.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Expected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29, 2026, Mr. Hannah tendered his resignation as our Chief Operating Officer, Chief Business Officer and Chief Compliance Officer, which resignation is conditioned upon the receipt of stockholder approval of the Required Company Stockholder Matters and will become effective two business days after the date of the Special Meeting, or September 29, 2026. Mr. Hannah currently serves as our Principal Financial Officer and Principal Accounting Officer. The Board has appointed John Militello, CPA, who currently serves as our Head of Finance, as our Chief Financial Officer, which appointment is conditioned upon the effectiveness of the resignation of Mr. Hannah. Mr. Militello will serve as the Company’s Principal Financial and Accounting Officer upon his appointment. </w:t>
      </w:r>
    </w:p>
    <w:p>
      <w:pPr>
        <w:pStyle w:val="TextBody"/>
        <w:bidi w:val="0"/>
        <w:spacing w:before="360" w:after="0"/>
        <w:jc w:val="left"/>
        <w:rPr>
          <w:rFonts w:ascii="Times New Roman" w:hAnsi="Times New Roman"/>
          <w:i/>
          <w:sz w:val="20"/>
        </w:rPr>
      </w:pPr>
      <w:r>
        <w:rPr>
          <w:rFonts w:ascii="Times New Roman" w:hAnsi="Times New Roman"/>
          <w:i/>
          <w:sz w:val="20"/>
        </w:rPr>
        <w:t xml:space="preserve">John Militello, CPA, age 52 </w:t>
      </w:r>
    </w:p>
    <w:p>
      <w:pPr>
        <w:pStyle w:val="TextBody"/>
        <w:bidi w:val="0"/>
        <w:spacing w:before="120" w:after="0"/>
        <w:jc w:val="left"/>
        <w:rPr>
          <w:rFonts w:ascii="Times New Roman" w:hAnsi="Times New Roman"/>
          <w:sz w:val="20"/>
        </w:rPr>
      </w:pPr>
      <w:r>
        <w:rPr>
          <w:rFonts w:ascii="Times New Roman" w:hAnsi="Times New Roman"/>
          <w:sz w:val="20"/>
        </w:rPr>
        <w:t xml:space="preserve">John Militello, CPA, has served as Head of Finance of Orphai Therapeutics, LLC since July 2026. Before joining the Company, Mr. Militello served as VP of Finance, Sr. Controller, Treasurer and Principal Accounting Officer of Rocket Pharmaceuticals, Inc., a publicly traded gene therapy company, from January 2018 to July 2026. Mr. Militello was also the Interim Principal Financial Officer of Rocket Pharmaceuticals from January 2018 to December 2020 and March 2022 to March 2024. Previously, Mr. Militello served as the Vice President of Finance and Principal Financial and Accounting Officer at Immune Pharmaceuticals Inc. from April 2015 to November 2017. Prior to that, Mr. Militello was an Assistant Controller at Travere Therapeutics, formerly Retrophin, Inc., a publicly traded biotechnology company, and a Senior Manager in the biotech practice of BDO USA, LLP serving multi-national SEC registrants. Mr. Militello is a Certified Public Accountant and earned his Bachelor of Science degree in Accounting from St. Joseph’s College.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Expected Chief Operating Officer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on July 29, 2026, Mr. Hannah tendered his resignation as our Chief Operating Officer, Chief Business Officer and Chief Compliance Officer, which resignation is conditioned upon the receipt of stockholder approval of the Required Company Stockholder Matters and will become effective two days after the date of the Special Meeting, or September 29, 2026. The Board has appointed Keith Fandrick, our Head of Technical Operations, as our Chief Operating Officer, which appointment is conditioned upon the effectiveness of the resignation of Mr. Hannah. </w:t>
      </w:r>
    </w:p>
    <w:p>
      <w:pPr>
        <w:pStyle w:val="TextBody"/>
        <w:bidi w:val="0"/>
        <w:spacing w:before="360" w:after="0"/>
        <w:jc w:val="left"/>
        <w:rPr>
          <w:rFonts w:ascii="Times New Roman" w:hAnsi="Times New Roman"/>
          <w:i/>
          <w:sz w:val="20"/>
        </w:rPr>
      </w:pPr>
      <w:r>
        <w:rPr>
          <w:rFonts w:ascii="Times New Roman" w:hAnsi="Times New Roman"/>
          <w:i/>
          <w:sz w:val="20"/>
        </w:rPr>
        <w:t xml:space="preserve">Keith Fandrick, age 47 </w:t>
      </w:r>
    </w:p>
    <w:p>
      <w:pPr>
        <w:pStyle w:val="TextBody"/>
        <w:bidi w:val="0"/>
        <w:spacing w:before="120" w:after="0"/>
        <w:jc w:val="left"/>
        <w:rPr>
          <w:rFonts w:ascii="Times New Roman" w:hAnsi="Times New Roman"/>
          <w:sz w:val="20"/>
        </w:rPr>
      </w:pPr>
      <w:r>
        <w:rPr>
          <w:rFonts w:ascii="Times New Roman" w:hAnsi="Times New Roman"/>
          <w:sz w:val="20"/>
        </w:rPr>
        <w:t xml:space="preserve">Keith R. Fandrick, Ph.D., has served as our Head of Technical Operations since the Acquisition. Prior to that time, Dr. Fandrick served as Chief Operating Officer of Orphai, where he led operations, chemistry, manufacturing and controls, program management, regulatory strategy, external manufacturing and intellectual property activities for clinical-stage therapeutic programs since 2017, and he previously served in various other roles at Orphai, including as Chief Development Officer and Head of CMC. Previously, Dr. Fandrick served as a member of the Scientific Advisory Board of Drug Farm, Inc., where he advised on pharmaceutical development and CMC strategy. From 2007 to 2017, Dr. Fandrick held positions of increasing responsibility at Boehringer-Ingelheim. Dr. Fandrick is an author or co-author of 78 publications and patents. He holds Ph.D. and A.M. degrees in chemistry from Harvard University, an M.B.A. from the University of North Carolina at Chapel Hill’s Kenan-Flagler Business School, B.S. in chemistry from the University of California, San Diego, and a Regulatory Affairs Certification.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Reasons for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and, as such, we are subject to the applicable rules of the Nasdaq Stock Market LLC, including Nasdaq Listing Rule 5635(a), which requires stockholder approval in connection with the acquisition of another company if the Nasdaq-listed company will issue more than 20% of its common stock. For purposes of Nasdaq Listing Rule 5635(a), the issuance of any common stock in the Acquisition Transactions would be aggregated together. If all shares of Series C Preferred Stock are converted into shares of our common stock (without giving effect to any beneficial ownership limitations), the shares of common stock issued upon such conversion and the shares of common stock issuable upon exercise of the Warrants and Orphai Options, would constitute approximately 94.23% of our issued and outstanding stock as of the record date. Thus, in order to permit the issuance of common stock upon conversion of the Series C Preferred Stock and exercise of the Warrants and Orphai Options, we must first obtain stockholder approval of this issuance.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Nasdaq Listing Rule 5635(b), stockholder approval is required prior to the issuance of securities that will result in a “change of control” of a listing company. Nasdaq has not formally defined what constitutes a “change of control” but Nasdaq guidance provides that generally a change of control occurs when, as a result of the issuance of securities in such transaction, an investor or a group of investors would own, or have the right to acquire, 20% or more of the outstanding shares of common stock or voting power and such ownership or voting power would be the largest ownership position. In addition, Nasdaq will consider all facts and circumstances concerning a transaction, including whether there are any other relationships or agreements between a company and an investor. Additionally, under Nasdaq Listing Rule 5110(a), Nasdaq guidance suggests that a change of control could result based on changes to the voting power and/or share ownership, management and board of directors of the listed company. Although the conversion of the Series C Preferred Stock will not result in an investor beneficially owning more than 20% of our voting power due to the beneficial ownership blockers and upon the closing of the Acquisition Dr. Roberts was the only newly appointed executive officer and director of the Company, any subsequent changes to the Board and management of the Company, even if occurring after the closing of the Acquisition Transactions and even if such changes are not a result of any contractual rights of any investor or group of investors, may be deemed a “change of control” by Nasdaq. Because we desire to make changes to our Board and management team after the Special Meeting as noted above, we are seeking stockholder approval of a “change of control” under Nasdaq Listing Rules. In addition, we filed the Nasdaq Listing Application in connection with such potential “change of control.” Stockholders should note that a “change of control” as described under Nasdaq Listing Rule 5635(b) applies only with respect to the application of such rule and does not constitute a “change of control” for purposes of Delaware law, our organizational documents or any other purpose.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Proposal No. 1 </w:t>
      </w:r>
    </w:p>
    <w:p>
      <w:pPr>
        <w:pStyle w:val="TextBody"/>
        <w:bidi w:val="0"/>
        <w:spacing w:before="120" w:after="0"/>
        <w:jc w:val="left"/>
        <w:rPr>
          <w:rFonts w:ascii="Times New Roman" w:hAnsi="Times New Roman"/>
          <w:sz w:val="20"/>
        </w:rPr>
      </w:pPr>
      <w:r>
        <w:rPr>
          <w:rFonts w:ascii="Times New Roman" w:hAnsi="Times New Roman"/>
          <w:sz w:val="20"/>
        </w:rPr>
        <w:t>In the event that our stockholders approve this Proposal No. 1, and Proposal Nos. 2 and 3 are also approved, at the Special Meeting, (i) the Series C Preferred Stock will become immediately convertible into shares of common stock, subject to any beneficial ownership limitations set by the holder; (ii) the Warrants will become exercisable for shares of common stock or the shares of Series C Preferred Stock issued upon exercise thereof will be convertible into shares of common stock, in each case, subject to any beneficial ownership limitations set by the holder; (iii) the restrictions prohibiting the Orphai Options from being exercisable will be lifted; and (iv) our management team and Board will change as described above under “</w:t>
      </w:r>
      <w:r>
        <w:rPr>
          <w:rFonts w:ascii="Times New Roman" w:hAnsi="Times New Roman"/>
          <w:i/>
          <w:sz w:val="20"/>
        </w:rPr>
        <w:t>Executive Officers and Directors Following the Special Meeting”</w:t>
      </w:r>
      <w:r>
        <w:rPr>
          <w:rFonts w:ascii="Times New Roman" w:hAnsi="Times New Roman"/>
          <w:sz w:val="20"/>
        </w:rPr>
        <w:t xml:space="preserve">. The issuance of our shares of common stock upon the conversion of the Series C Preferred Stock or exercise of the Warrants or Orphai Options, as applicable,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substantially smaller percentage of our total outstanding shares of common stock after any such conversion or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our stockholders do not approve this Proposal No. 1 at the Special Meeting, the Series C Preferred Stock will not become convertible, and the Warrants and Orphai Options will not become exercisable for common stock, as applicable, unless and until stockholders approve of such conversion and exercise and issuance of shares of common stock for the purposes of complying with the applicable provisions of Nasdaq Listing Rule 5635. Pursuant to the Merger Agreement and the Purchase Agreement, if we fail to receive sufficient proxies to constitute a quorum or to obtain the required vote on this Proposal No. 1, we would be required to postpone or adjourn the Special Meeting one or more times for up to 30 days per postponement or adjournment. Further, in the event that our stockholders do not approve this Proposal No. 1 at the Special Meeting, we are required to use our reasonable best efforts to secure the approvals sought in this Proposal No. 1 as soon as practicable following the date of the Special Meeting. We will be required to hold an annual meeting or a special meeting at least every six months to solicit and take a vote on the approvals sought in this Proposal No. 1 until such approvals are obtained. The process of continuing to hold stockholder meetings to obtain such approvals would cause us to incur significant legal expenses and could divert our management’s attention from the operation of our business. In addition, if we are unable to obtain approval of the Required Company Stockholder Matters, including this Proposal No. 1, we may be required to make significant cash settlement payments to the holders of Series C Preferred Stock, including any Series C Preferred Stock issued upon exercise of the Warrants (if any), who submit Notices of Conversion after November 18, 2026.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Parties </w:t>
      </w:r>
    </w:p>
    <w:p>
      <w:pPr>
        <w:pStyle w:val="TextBody"/>
        <w:bidi w:val="0"/>
        <w:spacing w:before="120" w:after="0"/>
        <w:jc w:val="left"/>
        <w:rPr>
          <w:rFonts w:ascii="Times New Roman" w:hAnsi="Times New Roman"/>
          <w:sz w:val="20"/>
        </w:rPr>
      </w:pPr>
      <w:r>
        <w:rPr>
          <w:rFonts w:ascii="Times New Roman" w:hAnsi="Times New Roman"/>
          <w:sz w:val="20"/>
        </w:rPr>
        <w:t>In connection with the Acquisition Transactions, Brigette Roberts, M.D., was appointed as our Chief Corporate Affairs Officer and a member of our Board. Dr. Roberts is expected to be appointed as our Chief Executive Officer if the Required Company Stockholder Matters are approved. Dr. Roberts also holds Orphai Options exercisable for an aggregate of 834,902 shares of common stock that were assumed in the Acquisition and that will become exercisable upon approval of the Required Company Stockholder Matters. In addition, as described in “</w:t>
      </w:r>
      <w:r>
        <w:rPr>
          <w:rFonts w:ascii="Times New Roman" w:hAnsi="Times New Roman"/>
          <w:i/>
          <w:sz w:val="20"/>
        </w:rPr>
        <w:t>Executive Officers and Directors Following the Special Meeting—Expected Chief Financial Officer</w:t>
      </w:r>
      <w:r>
        <w:rPr>
          <w:rFonts w:ascii="Times New Roman" w:hAnsi="Times New Roman"/>
          <w:sz w:val="20"/>
        </w:rPr>
        <w:t>” and “</w:t>
      </w:r>
      <w:r>
        <w:rPr>
          <w:rFonts w:ascii="Times New Roman" w:hAnsi="Times New Roman"/>
          <w:i/>
          <w:sz w:val="20"/>
        </w:rPr>
        <w:t>Executive Officers and Directors Following the Special Meeting—Expected Chief Operating Officer,</w:t>
      </w:r>
      <w:r>
        <w:rPr>
          <w:rFonts w:ascii="Times New Roman" w:hAnsi="Times New Roman"/>
          <w:sz w:val="20"/>
        </w:rPr>
        <w:t xml:space="preserve">” Mr. Militello is expected to be appointed as our Chief Financial Officer and Mr. Fandrick is expected to be appointed as our Chief Operating Officer, respectively, if the Required Company Stockholder Matters are approved. Mr. Fandrick, who previously served as the Chief Operating Officer of Orphai, holds Orphai Options exercisable for an aggregate of 233,767 shares of common stock that were assumed in the Acquisition and that will become exercisable upon approval of the Required Company Stockholder Matters. In addition, each of Dr. Thye and Mr. Hannah will receive retention bonuses of $700,000 and $500,000, respectively, if he is employed by us through the approval of the Required Company Stockholder Matters. Further, in connection with the execution of the Merger Agreement, the Company and Orphai Subsidiary entered into Support Agreements with certain of our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1, 2 and 3 at the Special Meeting, subject to and in accordance with the terms of the Support Agreements.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46981_8"/>
      <w:bookmarkEnd w:id="10"/>
      <w:r>
        <w:rPr>
          <w:rFonts w:ascii="Times New Roman" w:hAnsi="Times New Roman"/>
          <w:b/>
          <w:sz w:val="20"/>
        </w:rPr>
        <w:t xml:space="preserve">PROPOSAL NO. 2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ISSUANCE OF SHARES OF OUR COMMON STOCK UPON CONVERSION OF THE PIPE PREFERRED SHARES AND UPON EXERCISE OF THE PIPE WARRANTS PURSUANT TO NASDAQ LISTING RULE 5635(D)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in the 2026 Private Placement, we issued (i) an aggregate of 144,200.633 shares of Series C Preferred Stock (representing 7,498,447 shares of common stock on an as-converted-to-common basis, after giving effect to the Reverse Stock Split and without giving effect to any beneficial ownership limitations) and (ii) PIPE Warrants to purchase up to an aggregate of 72,100.322 shares of Series C Preferred Stock (representing 3,749,231 shares of common stock on an as-converted-to-common basis, after giving effect to the Reverse Stock Split and without giving effect to any beneficial ownership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Shares Issuable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 table summarizing the issued and outstanding shares of Series C Preferred Stock and the number of Series C Preferred Stock underlying issued and outstanding PIPE Warrants, and the number of shares of common stock that are potentially issuable upon conversion of the Series C Preferred Stock and exercise of the PIPE Warrants. The sale into the public market of the underlying common stock could materially and adversely affect the market price of our common stock. </w:t>
      </w:r>
    </w:p>
    <w:p>
      <w:pPr>
        <w:pStyle w:val="TextBody"/>
        <w:bidi w:val="0"/>
        <w:spacing w:before="0" w:after="0"/>
        <w:jc w:val="left"/>
        <w:rPr/>
      </w:pPr>
      <w:r>
        <w:rPr/>
        <w:t> </w:t>
      </w:r>
    </w:p>
    <w:tbl>
      <w:tblPr>
        <w:tblW w:w="8979" w:type="dxa"/>
        <w:jc w:val="left"/>
        <w:tblInd w:w="0" w:type="dxa"/>
        <w:tblLayout w:type="fixed"/>
        <w:tblCellMar>
          <w:top w:w="0" w:type="dxa"/>
          <w:left w:w="0" w:type="dxa"/>
          <w:bottom w:w="0" w:type="dxa"/>
          <w:right w:w="0" w:type="dxa"/>
        </w:tblCellMar>
      </w:tblPr>
      <w:tblGrid>
        <w:gridCol w:w="7490"/>
        <w:gridCol w:w="120"/>
        <w:gridCol w:w="60"/>
        <w:gridCol w:w="1234"/>
        <w:gridCol w:w="75"/>
      </w:tblGrid>
      <w:tr>
        <w:trPr/>
        <w:tc>
          <w:tcPr>
            <w:tcW w:w="7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 Private</w:t>
              <w:br/>
              <w:t>Placement</w:t>
            </w:r>
          </w:p>
        </w:tc>
        <w:tc>
          <w:tcPr>
            <w:tcW w:w="75" w:type="dxa"/>
            <w:tcBorders/>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 Issued and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144,200.633</w:t>
            </w:r>
          </w:p>
        </w:tc>
        <w:tc>
          <w:tcPr>
            <w:tcW w:w="75" w:type="dxa"/>
            <w:tcBorders/>
            <w:shd w:fill="CCEEFF" w:val="clear"/>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 Issuable Upon Exercise of Issued and Outstanding PIPE Warrants(1)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72,100.322</w:t>
            </w:r>
          </w:p>
        </w:tc>
        <w:tc>
          <w:tcPr>
            <w:tcW w:w="75" w:type="dxa"/>
            <w:tcBorders/>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(as converted)(2)(3)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11,247,678</w:t>
            </w:r>
          </w:p>
        </w:tc>
        <w:tc>
          <w:tcPr>
            <w:tcW w:w="75" w:type="dxa"/>
            <w:tcBorders/>
            <w:shd w:fill="CCEEFF" w:val="clear"/>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Stock Issuable(2)(3)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11,247,678</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conversion of the Series C Preferred Stock into common stock, the PIPE Warrants will be exercisable for shares of common stock or the shares of Series C Preferred Stock issued upon exercise thereof will be convertible into shares of common stock, in each case, subject to certain beneficial ownership limitations. </w:t>
            </w:r>
          </w:p>
        </w:tc>
      </w:tr>
    </w:tbl>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(2)</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give effect to any beneficial ownership limitations. </w:t>
            </w:r>
          </w:p>
        </w:tc>
      </w:tr>
    </w:tbl>
    <w:tbl>
      <w:tblPr>
        <w:tblW w:w="3535" w:type="dxa"/>
        <w:jc w:val="left"/>
        <w:tblInd w:w="0" w:type="dxa"/>
        <w:tblLayout w:type="fixed"/>
        <w:tblCellMar>
          <w:top w:w="0" w:type="dxa"/>
          <w:left w:w="0" w:type="dxa"/>
          <w:bottom w:w="0" w:type="dxa"/>
          <w:right w:w="0" w:type="dxa"/>
        </w:tblCellMar>
      </w:tblPr>
      <w:tblGrid>
        <w:gridCol w:w="305"/>
        <w:gridCol w:w="3230"/>
      </w:tblGrid>
      <w:tr>
        <w:trPr/>
        <w:tc>
          <w:tcPr>
            <w:tcW w:w="305" w:type="dxa"/>
            <w:tcBorders/>
            <w:vAlign w:val="center"/>
          </w:tcPr>
          <w:p>
            <w:pPr>
              <w:pStyle w:val="TableContents"/>
              <w:bidi w:val="0"/>
              <w:spacing w:before="0" w:after="283"/>
              <w:jc w:val="left"/>
              <w:rPr/>
            </w:pPr>
            <w:r>
              <w:rPr/>
              <w:t>(3)</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effect to the Reverse Stock Split.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Series C Preferred Stock </w:t>
      </w:r>
    </w:p>
    <w:p>
      <w:pPr>
        <w:pStyle w:val="TextBody"/>
        <w:bidi w:val="0"/>
        <w:spacing w:before="120" w:after="0"/>
        <w:jc w:val="left"/>
        <w:rPr>
          <w:rFonts w:ascii="Times New Roman" w:hAnsi="Times New Roman"/>
          <w:sz w:val="20"/>
        </w:rPr>
      </w:pPr>
      <w:r>
        <w:rPr>
          <w:rFonts w:ascii="Times New Roman" w:hAnsi="Times New Roman"/>
          <w:i/>
          <w:sz w:val="20"/>
        </w:rPr>
        <w:t>See the section titled “Proposal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 xml:space="preserve">may, together with certain changes to management and our Board, result in the change of control of the Company pursuant to Nasdaq Listing Rule 5635(b)” </w:t>
      </w:r>
      <w:r>
        <w:rPr>
          <w:rFonts w:ascii="Times New Roman" w:hAnsi="Times New Roman"/>
          <w:sz w:val="20"/>
        </w:rPr>
        <w:t xml:space="preserve">for a description of the Series C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and, as such, we are subject to the applicable rules of the Nasdaq Stock Market LLC, including Nasdaq Listing Rule 5635(d), which requires stockholder approval prior to the sale, issuance, or potential issuance by a listed company, in a transaction other than a public offering, of shares of common stock (or securities convertible into or exercisable for common stock) equal to 20% or more of the common stock outstanding or 20% or more of the voting power outstanding before the issuance for a price that is less than the lower of (i) the company’s Nasdaq Official Closing Price (as reflected on Nasdaq.com) immediately preceding the signing of the binding agreement, or (ii) the average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Nasdaq Official Closing Price of the common stock (as reflected on Nasdaq.com) for the five trading days immediately preceding the signing of the binding agreement (the “Minimum Price”).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on May 18, 2026 (the “Execution Date”), we entered into the Purchase Agreement with the Investors, pursuant to which, on May 21, 2026, we issued and sold the PIPE Securities at a price of $797.50 per share of Series C Preferred Stock. Accordingly, the deemed price at which each share of Series C Preferred Stock shall convert into a share of our common stock is approximately $15.3365 (after giving retroactive effect to the Reverse Stock Split). Additionally, the exercise price of each PIPE Warrant is $996.90 per share of Series C Preferred Stock (prior to giving effect to the Reverse Stock Split). The closing price of our common stock on May 15, 2026, the trading date immediately preceding the signing of the Purchase Agreement, was $23.00 (after giving retroactive effect to the Reverse Stock Split), and the average closing price of our common stock for the five trading days immediately preceding the signing of the Purchase Agreement was $24.20 (after giving retroactive effect to the Reverse Stock Split). As a result, it is possible that we may issue shares of our common stock upon conversion of the shares of Series C Preferred Stock and exercise of the PIPE Warrants at a price below the Minimum Price in the future. In addition, if all of the PIPE Preferred Shares are converted into shares of our common stock (without giving effect to any beneficial ownership limitations), the shares of common stock issued upon such conversion and the shares of common stock issuable upon exercise of the PIPE Warrants, would constitute approximately 71.40% of our issued and outstanding stock as of the record date. Thus, in order to permit the issuance of common stock upon conversion of the PIPE Preferred Shares and exercise of the PIPE Warrants, we must first obtain stockholder approval of this issuance.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are seeking stockholder approval of this Proposal No. 2 in order to permit us to issue shares of common stock upon conversion of the shares of the PIPE Preferred Shares and exercise of the PIPE Warrants at a price below the Minimum Price.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Proposal No. 2 </w:t>
      </w:r>
    </w:p>
    <w:p>
      <w:pPr>
        <w:pStyle w:val="TextBody"/>
        <w:bidi w:val="0"/>
        <w:spacing w:before="120" w:after="0"/>
        <w:jc w:val="left"/>
        <w:rPr>
          <w:rFonts w:ascii="Times New Roman" w:hAnsi="Times New Roman"/>
          <w:sz w:val="20"/>
        </w:rPr>
      </w:pPr>
      <w:r>
        <w:rPr>
          <w:rFonts w:ascii="Times New Roman" w:hAnsi="Times New Roman"/>
          <w:sz w:val="20"/>
        </w:rPr>
        <w:t>In the event that our stockholders approve this Proposal No. 2, and Proposal Nos. 1 and 3 are also approved, at the Special Meeting, (i) the PIPE Preferred Shares will become immediately convertible into shares of common stock, subject to any beneficial ownership limitations set by the holder, (ii) the PIPE Warrants will become exercisable for shares of common stock or the shares of Series C Preferred Stock issued upon exercise thereof will be convertible into shares of common stock, in each case, subject to any beneficial ownership limitations set by the holder and beginning on the trading day following the earlier of the Company’s public announcement of (a) top line data from the ongoing LAM-001 Phase 2 trial of Bronchiolitis Obliterans Syndrome and (b) the termination or suspension of such trial, and through the 30th day following such public announcement; and (iii) each of the other effects that are contingent upon approval of the Required Company Stockholder Matters will also occur. See the section titled “</w:t>
      </w:r>
      <w:r>
        <w:rPr>
          <w:rFonts w:ascii="Times New Roman" w:hAnsi="Times New Roman"/>
          <w:i/>
          <w:sz w:val="20"/>
        </w:rPr>
        <w:t>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may, together with certain changes to management and our Board, result in the change of control of the Company pursuant to Nasdaq Listing Rule 5635(b)—Effect of 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for more information. The issuance of our shares of common stock upon the conversion of the PIPE Preferred Shares or exercise of the PIPE Warrants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substantially smaller percentage of our total outstanding shares of common stock after any such conversion or exercise.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our stockholders do not approve this Proposal No. 2 at the Special Meeting, the PIPE Preferred Shares and the PIPE Warrants will not become convertible or exercisable, as applicable, unless and until stockholders approve of such conversion and exercise and the issuance of shares of common stock for the purposes of complying with the applicable provisions of Nasdaq Listing Rule 5635. Pursuant to the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if we fail to receive sufficient proxies to constitute a quorum or to obtain the required vote on this Proposal No. 2, we would be required to postpone or adjourn the Special Meeting one or more times for up to 30 days per postponement or adjournment. Further, in the event that our stockholders do not approve this Proposal No. 2 at the Special Meeting, we are required to use our reasonable best efforts to secure the approvals sought in this Proposal No. 2 as soon as practicable following the date of the Special Meeting. We will be required to hold an annual meeting or a special meeting at least every six months to solicit and take a vote on the approvals sought in this Proposal No. 2 until such approvals are obtained. The process of continuing to hold stockholder meetings to obtain such approvals would cause us to incur significant legal expenses and could divert our management’s attention from the operation of our business. In addition, if we are unable to obtain approval of the Required Company Stockholder Matters, including this Proposal No. 2, we may be required to make significant cash settlement payments to the holders of Series C Preferred Stock, including any Series C Preferred Stock issued upon exercise of the PIPE Warrants (if any), who submit Notices of Conversion after November 18, 2026.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Parties </w:t>
      </w:r>
    </w:p>
    <w:p>
      <w:pPr>
        <w:pStyle w:val="TextBody"/>
        <w:bidi w:val="0"/>
        <w:spacing w:before="120" w:after="0"/>
        <w:jc w:val="left"/>
        <w:rPr>
          <w:rFonts w:ascii="Times New Roman" w:hAnsi="Times New Roman"/>
          <w:sz w:val="20"/>
        </w:rPr>
      </w:pPr>
      <w:r>
        <w:rPr>
          <w:rFonts w:ascii="Times New Roman" w:hAnsi="Times New Roman"/>
          <w:sz w:val="20"/>
        </w:rPr>
        <w:t>Although none of our directors or executive officers purchased PIPE Securities in the 2026 Private Placement, certain directors and executive officers have certain interests in this Proposal No. 2 as a result of it being one of the proposals contained in the Required Company Stockholder Matters. See the section titled “</w:t>
      </w:r>
      <w:r>
        <w:rPr>
          <w:rFonts w:ascii="Times New Roman" w:hAnsi="Times New Roman"/>
          <w:i/>
          <w:sz w:val="20"/>
        </w:rPr>
        <w:t>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 xml:space="preserve">may, together with certain changes to management and our Board, result in the change of control of the Company pursuant to Nasdaq Listing Rule 5635(b)—Interests of Certain Parties.” </w:t>
      </w:r>
      <w:r>
        <w:rPr>
          <w:rFonts w:ascii="Times New Roman" w:hAnsi="Times New Roman"/>
          <w:sz w:val="20"/>
        </w:rPr>
        <w:t xml:space="preserve">for a description of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execution of the Merger Agreement, the Company and Orphai Subsidiary entered into Support Agreements with certain of our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1, 2 and 3 at the Special Meeting, subject to and in accordance with the terms of the Support Agreements.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46981_9"/>
      <w:bookmarkEnd w:id="11"/>
      <w:r>
        <w:rPr>
          <w:rFonts w:ascii="Times New Roman" w:hAnsi="Times New Roman"/>
          <w:b/>
          <w:sz w:val="20"/>
        </w:rPr>
        <w:t xml:space="preserve">PROPOSAL NO. 3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AMENDMENT OF THE CERTIFICATE OF INCORPORATION TO INCREASE THE NUMBER OF AUTHORIZED SHARES OF COMMON STOCK FROM 250,000,000 TO 275,000,000 </w:t>
      </w:r>
    </w:p>
    <w:p>
      <w:pPr>
        <w:pStyle w:val="TextBody"/>
        <w:bidi w:val="0"/>
        <w:spacing w:before="240" w:after="0"/>
        <w:jc w:val="left"/>
        <w:rPr>
          <w:rFonts w:ascii="Times New Roman" w:hAnsi="Times New Roman"/>
          <w:sz w:val="20"/>
        </w:rPr>
      </w:pPr>
      <w:r>
        <w:rPr>
          <w:rFonts w:ascii="Times New Roman" w:hAnsi="Times New Roman"/>
          <w:sz w:val="20"/>
        </w:rPr>
        <w:t xml:space="preserve">The Board is requesting stockholder approval of an amendment to the Company’s Amended and Restated Certificate of Incorporation to increase the Company’s authorized number of shares of common stock from 250,000,000 shares to 275,000,000 shares. The Board of Directors has not approved an increase in the authorized shares of any class of preferred stock, including the Series C Preferred Stock. The text of the proposed amendment is set forth on Annex B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common stock to be authorized by adoption of the amendment would have rights identical to the currently outstanding common stock of the Company. Adoption of the proposed amendment would not affect the rights of the holders of currently outstanding common stock of the Company, except for effects incidental to increasing the number of shares of common stock available for future issuance, which would result in dilution of the earnings per share and voting rights of current holders of common stock. If the amendment is adopted, it will become effective upon filing of a Certificate of Amendment to the Company’s Amended and Restated Certificate of Incorporation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August 24, 2026, there were 1,017,063 shares of common stock issued and outstanding and entitled to vote. On the record date, there were 211,301.868 shares of Series C Preferred Stock issued and outstanding; however, the shares of Series C Preferred Stock are not entitled to vote on the matters being considered at the Special Meeting. In addition, as of June 30, 2026, (i) an aggregate of 10,987,728 shares of common stock are issuable upon conversion of the Series C Preferred Stock, (ii) an aggregate of 1,378,309 shares of common stock are issuable upon exercise of outstanding stock options, (iii) 4,319,400 shares of common stock are issuable upon exercise of outstanding warrants, (iv) 78,309 shares of common stock are reserved for issuance under the Quince Therapeutics, Inc. 2019 Equity Incentive Plan, (v) 14,504 shares of common stock are reserved for issuance under the Quince Therapeutics, Inc. 2019 Employee Stock Purchase Plan (the “2019 ESPP”), (vi) 2,724 shares of common stock are reserved for future issuance under the Novosteo, Inc. 2019 Equity Incentive Plan, (vii) 8,333 shares of common stock are available for issuance under the Quince Therapeutics, Inc. 2022 Inducement Plan (the “2022 Inducement Plan”) and (viii) if Proposals No. 4 and No. 5 are approved, 821,872 and 142,045 shares of common stock, respectively, will be reserved for issuance under the 2026 Plan and the 2026 ESPP. The proposed amendment to our Certificate of Incorporation would increase the number of shares of common stock that we are authorized to issue from 250,000,000 shares of common stock to 275,000,000 shares of common stock, representing an increase of 25,000,000 shares of authorized common stock. The proposed amendment to our Amended and Restated Certificate of Incorporation would not increase the number of shares of preferred stock that we are authorized to issue. The proposed form of amendment to our Amended and Restated Certificate of Incorporation to effect the Authorized Share Increase Proposal is attached as Annex B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sufficient authorized shares to issue the shares of common stock issuable upon both the conversion of the Series C Preferred Stock and the exercise of the Warrants, if Proposals 1 and 2 are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additional authorized shares of common stock will be available for issuance from time to time at the discretion of our Board of Directors for any proper corporate purpose, including, without limitation: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public or private financings, including potential issuances in connection with warrants or other convertible securities, including the Warrants and the Series C Preferred Stock;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acquisitions of other businesses, technologies or assets;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issuances in connection with the 2026 Plan and the 2026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dividends, stock splits or other recapitalizations; and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proper corporate purposes as determined by the Board of Directors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to the extent required by applicable law, regulation or the rules of the Nasdaq Stock Market, any future issuances of authorized shares of common stock may be approved by the Board of Directors without further action by our stockholders. The availability of additional authorized shares of common stock would be particularly important in the event that the Board of Directors needs to undertake any of the foregoing actions on an expedited basis, in order to avoid the time and expense of seeking stockholder approval in connection with any contemplated issuance, where such approval might not otherwise be required. Although the Board of Directors will issue common stock only when required or when the Board of Directors considers such issuance to be in our and our stockholders’ best interests, the issuance of additional common stock may, among other things, have a dilutive effect on the earnings per share (if any) and on the equity and voting rights of our existing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and 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that are authorized but unissued provide the Board of Directors with flexibility to effect, among other transactions, public or private financings, including the issuance and exercise of warrants, acquisitions, stock dividends, stock splits, and the granting of equity incentive awards. However, these authorized but unissued shares may also be used by the Board of Directors, consistent with and subject to its fiduciary duties, to deter future attempts to gain control of us or make such actions more expensive and less desirable. The Authorized Share Proposal would continue to give the Board of Directors authority to issue additional shares from time to time without delay or further action by the stockholders, except as may be required by applicable law, regulation or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Share Increase is not being recommended in response to any specific effort of which we are aware to obtain control of the Company, nor does the Board of Directors have any present intent to use the authorized but unissued common stock to impede a takeover attempt. While the Authorized Share Increase may be deemed to have potential anti-takeover effects, the proposal is not prompted by any specific effort or takeover threat currently perceived by management. In addition, we do not have any plans to implement additional measures having anti-takeover effects.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Share Increase will increase the number of authorized shares of common stock and, as a result, the Board of Directors’ ability to issue authorized and unissued shares without further stockholder action. The issuance of additional shares of common stock may have a dilutive effect on earnings per share and relative voting power and may cause a decline in the trading price of our common stock. We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Proposal No. 3 </w:t>
      </w:r>
    </w:p>
    <w:p>
      <w:pPr>
        <w:pStyle w:val="TextBody"/>
        <w:bidi w:val="0"/>
        <w:spacing w:before="120" w:after="0"/>
        <w:jc w:val="left"/>
        <w:rPr>
          <w:rFonts w:ascii="Times New Roman" w:hAnsi="Times New Roman"/>
          <w:sz w:val="20"/>
        </w:rPr>
      </w:pPr>
      <w:r>
        <w:rPr>
          <w:rFonts w:ascii="Times New Roman" w:hAnsi="Times New Roman"/>
          <w:sz w:val="20"/>
        </w:rPr>
        <w:t>In the event that stockholders approve this Proposal No. 3, and Proposal Nos. 1 and 2 are also approved, each of the effects that are contingent upon approval of the Required Company Stockholder Matters will occur. See the section titled “</w:t>
      </w:r>
      <w:r>
        <w:rPr>
          <w:rFonts w:ascii="Times New Roman" w:hAnsi="Times New Roman"/>
          <w:i/>
          <w:sz w:val="20"/>
        </w:rPr>
        <w:t>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may, together with certain changes to management and our Board, result in the change of control of the Company pursuant to Nasdaq Listing Rule 5635(b)—Effect of 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for more information. Other than the obligation to issue shares of common stock upon the conversion of the outstanding Series C Preferred Stock, Warrants and shares issuable upon the exercise of outstanding stock options under our existing equity plans or under the 2026 Plan and 2026 ESPP, if approved, we have no specific plan, commitment,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understanding or agreement, either oral or written, regarding the issuance of common stock subsequent to the Authorized Share Increase at this time, and we have not allocated any specific portion of the authorized shares to any particular purpose.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Consequences if Proposal No. 3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our stockholders do not approve this Proposal No. 3 at the Special Meeting, we are required to use our reasonable best efforts to secure the approvals sought in this Proposal No. 3 as soon as practicable following the date of the Special Meeting. Pursuant to the Merger Agreement and the Purchase Agreement, if we fail to receive sufficient proxies to constitute a quorum or to obtain the required vote on this Proposal No. 3, we would be required to postpone or adjourn the Special Meeting one or more times for up to 30 days per postponement or adjournment. Further, we will be required to hold an annual meeting or a special meeting at least every six months to solicit and take a vote on the approvals sought in this Proposal No. 3 until such approvals are obtained. The process of continuing to hold stockholder meetings to obtain such approvals would cause us to incur significant legal expenses and could divert our management’s attention from the operation of our business. In addition, if we are unable to obtain approval of the Required Company Stockholder Matters, including this Proposal No. 3, we may be required to make significant cash settlement payments to the holders of Series C Preferred Stock, including any Series C Preferred Stock issued upon exercise of the Warrants (if any), who submit Notices of Conversion after November 18,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Procedure for Effecting the Authorized Share Increase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No. 3 is approved by our stockholders, we will promptly file the Certificate of Amendment with the Secretary of State of the State of Delaware to amend our existing Amended and Restated Certificate of Incorporation. The Authorized Share Increase will become effective upon the date of filing and acceptance of the Certificate of Amendment by the Secretary of State of the State of Delaware. The text of the Certificate of Amendment is set forth in Annex B to this Proxy Statement and is subject to modification to include such changes as may be required by the office of the Secretary of State of the State of Delaware and as the Board of Directors deems necessary and advisable to effect the Authorized Share Increase.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Certificate of Amendment set forth above is qualified in its entirety by reference to the full text of the Certificate of Amendment, which is attached as Annex B to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Interests of Certain Parties </w:t>
      </w:r>
    </w:p>
    <w:p>
      <w:pPr>
        <w:pStyle w:val="TextBody"/>
        <w:bidi w:val="0"/>
        <w:spacing w:before="120" w:after="0"/>
        <w:jc w:val="left"/>
        <w:rPr>
          <w:rFonts w:ascii="Times New Roman" w:hAnsi="Times New Roman"/>
          <w:sz w:val="20"/>
        </w:rPr>
      </w:pPr>
      <w:r>
        <w:rPr>
          <w:rFonts w:ascii="Times New Roman" w:hAnsi="Times New Roman"/>
          <w:sz w:val="20"/>
        </w:rPr>
        <w:t>Certain directors and executive officers have certain interests in this Proposal No. 3 as a result of it being one of the proposals contained in the Required Company Stockholder Matters. See the section titled “</w:t>
      </w:r>
      <w:r>
        <w:rPr>
          <w:rFonts w:ascii="Times New Roman" w:hAnsi="Times New Roman"/>
          <w:i/>
          <w:sz w:val="20"/>
        </w:rPr>
        <w:t>Proposal No. 1—Approval of issuance of shares of our common stock, upon conversion of our Series C Preferred Stock and exercise of the Warrants and Orphai Options, which (a)</w:t>
      </w:r>
      <w:r>
        <w:rPr>
          <w:rFonts w:ascii="Times New Roman" w:hAnsi="Times New Roman"/>
          <w:sz w:val="20"/>
        </w:rPr>
        <w:t> </w:t>
      </w:r>
      <w:r>
        <w:rPr>
          <w:rFonts w:ascii="Times New Roman" w:hAnsi="Times New Roman"/>
          <w:i/>
          <w:sz w:val="20"/>
        </w:rPr>
        <w:t>will represent more than 20% of the shares of common stock outstanding pursuant to Nasdaq Listing Rule 5635(a) and (b)</w:t>
      </w:r>
      <w:r>
        <w:rPr>
          <w:rFonts w:ascii="Times New Roman" w:hAnsi="Times New Roman"/>
          <w:sz w:val="20"/>
        </w:rPr>
        <w:t> </w:t>
      </w:r>
      <w:r>
        <w:rPr>
          <w:rFonts w:ascii="Times New Roman" w:hAnsi="Times New Roman"/>
          <w:i/>
          <w:sz w:val="20"/>
        </w:rPr>
        <w:t xml:space="preserve">may, together with certain changes to management and our Board, result in the change of control of the Company pursuant to Nasdaq Listing Rule 5635(b)—Interests of Certain Parties.” </w:t>
      </w:r>
      <w:r>
        <w:rPr>
          <w:rFonts w:ascii="Times New Roman" w:hAnsi="Times New Roman"/>
          <w:sz w:val="20"/>
        </w:rPr>
        <w:t xml:space="preserve">for a description of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execution of the Merger Agreement, the Company and Orphai Subsidiary entered into Support Agreements with certain of our officers and directors (solely in their capacity as stockholders), representing approximately 2.9%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1, 2 and 3 at the Special Meeting, subject to and in accordance with the terms of the Support Agreements.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46981_10"/>
      <w:bookmarkEnd w:id="12"/>
      <w:r>
        <w:rPr>
          <w:rFonts w:ascii="Times New Roman" w:hAnsi="Times New Roman"/>
          <w:b/>
          <w:sz w:val="20"/>
        </w:rPr>
        <w:t xml:space="preserve">PROPOSAL NO. 4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THE 2026 EQUITY INCENTIVE PLAN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are also being asked to consider and vote upon the 2026 Plan Proposal to approve the Company’s 2026 Equity Incentive Plan (the “2026 Plan”). Our board of directors approved the 2026 Plan on July 29, 2026, subject to stockholder approval. If the Company’s stockholders approve the 2026 Plan, the 2026 Plan will immediately become effective. If the 2026 Plan is not approved by the Company’s stockholders, the 2026 Plan will not become effective. The 2026 Plan is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The summary is qualified in its entirety by reference to the text of the 2026 Plan, a copy of which is attached as Annex C to this Proxy Statement. The Company’s stockholders should refer to the 2026 Plan for a more complete and detailed information about the terms and conditions of the 2026 Plan. </w:t>
      </w:r>
    </w:p>
    <w:p>
      <w:pPr>
        <w:pStyle w:val="TextBody"/>
        <w:bidi w:val="0"/>
        <w:spacing w:before="360" w:after="0"/>
        <w:jc w:val="left"/>
        <w:rPr>
          <w:rFonts w:ascii="Times New Roman" w:hAnsi="Times New Roman"/>
          <w:b/>
          <w:sz w:val="20"/>
        </w:rPr>
      </w:pPr>
      <w:r>
        <w:rPr>
          <w:rFonts w:ascii="Times New Roman" w:hAnsi="Times New Roman"/>
          <w:b/>
          <w:sz w:val="20"/>
        </w:rPr>
        <w:t xml:space="preserve">We Manage Our Equity Award Use Carefully </w:t>
      </w:r>
    </w:p>
    <w:p>
      <w:pPr>
        <w:pStyle w:val="TextBody"/>
        <w:bidi w:val="0"/>
        <w:spacing w:before="120" w:after="0"/>
        <w:jc w:val="left"/>
        <w:rPr>
          <w:rFonts w:ascii="Times New Roman" w:hAnsi="Times New Roman"/>
          <w:sz w:val="20"/>
        </w:rPr>
      </w:pPr>
      <w:r>
        <w:rPr>
          <w:rFonts w:ascii="Times New Roman" w:hAnsi="Times New Roman"/>
          <w:sz w:val="20"/>
        </w:rPr>
        <w:t xml:space="preserve">We continue to believe that equity awards are a vital part of our overall compensation program. Our compensation philosophy reflects broad-based eligibility for equity awards, and we grant equity awards to substantially all of our employees. However, we recognize that equity awards dilute existing stockholders, and, therefore, we must responsibly manage the growth of our equity compensation program. We are committed to effectively monitoring our equity compensation share reserve, including our “burn rate,” in a manner intended to maximize stockholders’ value by granting the appropriate number of equity awards necessary to attract, reward, and retain employees. </w:t>
      </w:r>
    </w:p>
    <w:p>
      <w:pPr>
        <w:pStyle w:val="TextBody"/>
        <w:bidi w:val="0"/>
        <w:spacing w:before="360" w:after="0"/>
        <w:jc w:val="left"/>
        <w:rPr>
          <w:rFonts w:ascii="Times New Roman" w:hAnsi="Times New Roman"/>
          <w:i/>
          <w:sz w:val="20"/>
        </w:rPr>
      </w:pPr>
      <w:r>
        <w:rPr>
          <w:rFonts w:ascii="Times New Roman" w:hAnsi="Times New Roman"/>
          <w:i/>
          <w:sz w:val="20"/>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detailed information regarding the activity related to the Company’s equity incentive program for fiscal years 2025, 2024 and 2023 but does not include information regarding any equity incentive programs of Orphai. </w:t>
      </w:r>
    </w:p>
    <w:p>
      <w:pPr>
        <w:pStyle w:val="TextBody"/>
        <w:bidi w:val="0"/>
        <w:spacing w:before="0" w:after="0"/>
        <w:jc w:val="left"/>
        <w:rPr/>
      </w:pPr>
      <w:r>
        <w:rPr/>
        <w:t> </w:t>
      </w:r>
    </w:p>
    <w:tbl>
      <w:tblPr>
        <w:tblW w:w="9905" w:type="dxa"/>
        <w:jc w:val="left"/>
        <w:tblInd w:w="0" w:type="dxa"/>
        <w:tblLayout w:type="fixed"/>
        <w:tblCellMar>
          <w:top w:w="0" w:type="dxa"/>
          <w:left w:w="0" w:type="dxa"/>
          <w:bottom w:w="0" w:type="dxa"/>
          <w:right w:w="0" w:type="dxa"/>
        </w:tblCellMar>
      </w:tblPr>
      <w:tblGrid>
        <w:gridCol w:w="6245"/>
        <w:gridCol w:w="120"/>
        <w:gridCol w:w="60"/>
        <w:gridCol w:w="800"/>
        <w:gridCol w:w="275"/>
        <w:gridCol w:w="60"/>
        <w:gridCol w:w="60"/>
        <w:gridCol w:w="800"/>
        <w:gridCol w:w="275"/>
        <w:gridCol w:w="60"/>
        <w:gridCol w:w="60"/>
        <w:gridCol w:w="800"/>
        <w:gridCol w:w="290"/>
      </w:tblGrid>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stock options granted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16,734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18,372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16,436</w:t>
            </w:r>
          </w:p>
        </w:tc>
        <w:tc>
          <w:tcPr>
            <w:tcW w:w="290"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full value awards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of common stock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250,485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216,312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186,186</w:t>
            </w:r>
          </w:p>
        </w:tc>
        <w:tc>
          <w:tcPr>
            <w:tcW w:w="290"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Burn Rate(1)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8.83</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Burn Rate is calculated as (shares of common stock subject to stock options granted + shares of common stock subject to full value awards granted) / weighted-average shares of common stock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Overhang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certain information regarding the Company’s equity incentive programs but does not include information on any equity incentive programs of Orphai.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80"/>
        <w:gridCol w:w="120"/>
        <w:gridCol w:w="81"/>
        <w:gridCol w:w="1334"/>
        <w:gridCol w:w="590"/>
      </w:tblGrid>
      <w:tr>
        <w:trPr/>
        <w:tc>
          <w:tcPr>
            <w:tcW w:w="8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stock options</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1,378,309</w:t>
            </w:r>
          </w:p>
        </w:tc>
        <w:tc>
          <w:tcPr>
            <w:tcW w:w="590" w:type="dxa"/>
            <w:tcBorders/>
            <w:shd w:fill="CCEEFF" w:val="clear"/>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exercise price of outstanding stock options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$40.78</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term of outstanding stock options</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9.37</w:t>
            </w:r>
          </w:p>
        </w:tc>
        <w:tc>
          <w:tcPr>
            <w:tcW w:w="590" w:type="dxa"/>
            <w:tcBorders/>
            <w:shd w:fill="CCEEFF" w:val="clear"/>
            <w:vAlign w:val="center"/>
          </w:tcPr>
          <w:p>
            <w:pPr>
              <w:pStyle w:val="TableContents"/>
              <w:bidi w:val="0"/>
              <w:spacing w:before="0" w:after="283"/>
              <w:jc w:val="left"/>
              <w:rPr/>
            </w:pPr>
            <w:r>
              <w:rPr/>
              <w:t> </w:t>
            </w:r>
            <w:r>
              <w:rPr/>
              <w:t>years</w:t>
            </w:r>
          </w:p>
        </w:tc>
      </w:tr>
      <w:tr>
        <w:trPr/>
        <w:tc>
          <w:tcPr>
            <w:tcW w:w="8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full value awards(1)</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0</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available for grant under the Quince Therapeutics, Inc. 2019 Equity Incentive Plan</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78,309</w:t>
            </w:r>
          </w:p>
        </w:tc>
        <w:tc>
          <w:tcPr>
            <w:tcW w:w="590" w:type="dxa"/>
            <w:tcBorders/>
            <w:shd w:fill="CCEEFF" w:val="clear"/>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available for grant under the Novosteo Inc. 2019 Equity Incentive Plan</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2,724</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available for grant under the Quince Therapeutics, Inc. 2022 Inducement Plan</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8,333</w:t>
            </w:r>
          </w:p>
        </w:tc>
        <w:tc>
          <w:tcPr>
            <w:tcW w:w="590" w:type="dxa"/>
            <w:tcBorders/>
            <w:shd w:fill="CCEEFF" w:val="clear"/>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outstanding</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1,017,063</w:t>
            </w:r>
          </w:p>
        </w:tc>
        <w:tc>
          <w:tcPr>
            <w:tcW w:w="590"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Per-share closing price of common stock as reported on Nasdaq</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$18.19</w:t>
            </w:r>
          </w:p>
        </w:tc>
        <w:tc>
          <w:tcPr>
            <w:tcW w:w="5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“full value award” is any award other than a stock option or stock appreciation with respect to which the exercise or strike price is at least 100% of the fair market value of our common stock on the date of grant.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2026 Plan will be the successor to and continuation of the Quince Therapeutics, Inc. 2019 Equity Incentive Plan, the Novosteo Inc. 2019 Equity Incentive Plan, the Quince Therapeutics, Inc. 2022 Inducement Plan, the Orphai Therapeutics Inc. 2026 Stock Incentive Plan and the Orphai Therapeutics Inc. 2013 Employee, Director and Consultant Equity Incentive Plan (each as may be amended from time to time, collectively, the “Prior Plans”). Once the 2026 Plan becomes effective, no further grants will be made under the Prior Plans.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Any individual who is an employee of ours or any of our affiliates, or any person who provides services to us or our affiliates, including members of our board of directors, is eligible to receive awards under the 2026 Plan at the discretion of the plan administrator. As of July 29, 2026, we had 28 employees, five consultants and four non-employee directors. </w:t>
      </w:r>
    </w:p>
    <w:p>
      <w:pPr>
        <w:pStyle w:val="TextBody"/>
        <w:bidi w:val="0"/>
        <w:spacing w:before="24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2026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 </w:t>
      </w:r>
    </w:p>
    <w:p>
      <w:pPr>
        <w:pStyle w:val="TextBody"/>
        <w:bidi w:val="0"/>
        <w:spacing w:before="24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Subject to adjustment for specified changes in our capitalization, the maximum number of shares of our common stock that will be available for issuance under the 2026 Plan will be equal to (i) 821,872 shares of common stock, plus up to (ii) 1,377,845 shares of our common stock subject to outstanding stock awards granted under the Prior Plans (including, but not limited to, outstanding stock awards assumed by the Company in connection with the Acquisition) that, after the date the 2026 Plan becomes effective, are not issued because a stock award expires or otherwise terminates without all of the shares covered by the award having been issued; are not issued because the stock award is settled in cash; are forfeited or repurchased because of the failure to vest; or are reacquired or withheld to satisfy a tax withholding obligation or the purchase or exercise price (the shares described in clause (ii), the “Returning Shares”). In addition, the number of shares of our common stock reserved for issuance under the 2026 Plan will automatically increase on January 1 of each calendar year, from January 1, 2027 through January 1, 2036, in an amount equal to 5% of the total number of shares of all classes of our common stock outstanding plus all shares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issuable upon the exercise of any pre-funded warrants (without regard to any beneficial ownership limitations) on December 31 of the preceding year, or a lesser number of shares determined by our board of directors. The maximum number of shares of our common stock that may be issued on the exercise of ISOs under the 2026 Plan is equal to 7,000,000 shares. As of July 30, 2026, the closing price of the Company’s common stock as reported on Nasdaq was $23.03 per share.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stock awards granted under the 2026 Plan that expire or terminate without being exercised in full, or that are paid out in cash rather than in shares, do not reduce the number of shares available for issuance under the 2026 Plan. Additionally, shares become available for future grant under the 2026 Plan if (i) they were issued stock awards under the 2026 Plan and we repurchase them or they are forfeited because of the failure to vest, or (ii) they are reacquired by us to pay the exercise price of a stock award or to satisfy the tax withholding obligations related to a stock award.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board of directors, or a duly authorized committee of our board of directors, will administer the 2026 Plan. Our board of directors may delegate concurrent authority to administer the 2026 Plan to our compensation committee under the terms of our compensation committee’s charter. We sometimes refer to our board of directors, or the applicable committee with the power to administer our equity incentive plans, as the administrator. The administrator may also delegate to one or more persons or bodies the authority to (i) designate employees (other than officers) to receive specified awards, and (ii) determine the number of shares subject to such awards. Such persons or bodies may not grant a stock award to themselves and neither our board of directors nor any committee may delegate authority to any person or body (who is not a member of our board of directors or such body that is not comprised solely of members of our board of directors) the authority to determine the fair market value of our common stock for purposes of the 2026 Plan.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the 2026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subject to the terms of the 2026 Plan, the administrator also has the power to modify outstanding awards under the 2026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applicable award agreements adopted by the administrator. The administrator determines the exercise price for stock options, within the terms and conditions of the 2026 Plan, provided that the exercise price of a stock option generally cannot be less than 100% of the fair market value of our common stock on the date of grant. Options granted under the 2026 Plan vest at the rate specified in the applicable award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our common stock 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units are granted under the applicable award agreements adopted by the administrator. Restricted stock units may be granted in consideration for any form of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that may be acceptable to our board of directors and permissible under applicable law. A restricted stock unit may be settled by cash, delivery of stock, a combination of cash and stock as deemed appropriate by the administrator, or in any other form of consideration set forth in the applicable award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applicable award agreements adopted by the administrator. A restricted stock award may be awarded in consideration for cash, check, bank draft or money order, past services to us, or any other form of legal consideration (including future services) that may be acceptable to our board of directors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under applicable award agreements adopted by the administrator. The administrator determines the purchase price or strike price for a stock appreciation right, which generally cannot be less than 100% of the fair market value of our common stock on the date of grant. A stock appreciation right granted under the 2026 Plan vests at the rate specified in the applicable award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2026 Plan permits the grant of performance-based stock and cash awards. The administrator may structure 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share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The administrator retains the discretion to reduce or eliminate the compensation or economic benefit due upon attainment of the goals. The performance goals may differ from participant to participant and from award to award. </w:t>
      </w:r>
    </w:p>
    <w:p>
      <w:pPr>
        <w:pStyle w:val="TextBody"/>
        <w:bidi w:val="0"/>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administrator may grant other awards based in whole or in part by reference to our common stock. The administrator will set the number of shares under the stock award and all other terms and conditions of such awards.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fiscal year, including stock awards granted and cash fees paid by us to such non-employee director, will not exceed $750,000 in total value, or in the event such non-employee director is first appointed or elected to our board of directors during such calendar year, $1,000,000 in total value (in each case, calculating the value of any such stock awards based on the grant date fair value of such stock awards for financial reporting purposes). Compensation will count towards this limit for the fiscal year in which it was granted or earned, and not later when distributed, in the event it is deferred.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our capital structure, such as a stock split, reverse stock split, or recapitalization, appropriate adjustments will be made to (i) the class and maximum number of shares reserved for issuance under the 2026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2026 Plan in the event of a corporate transaction, unless otherwise provided in a participant’s stock award agreement or other written agreement with us or one of our affiliates or unless otherwise expressly provided by the administrator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corporate transaction, any stock awards outstanding under the 2026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and (iv)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under the 2026 Plan, awards granted under the 2026 Plan will not receive automatic acceleration of vesting and exercisability, although this treatment may be provided for in an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Plan, a change in control is defined to include: (i) the acquisition by any person or company of more than 50% of the combined voting power of our then outstanding stock; (ii) a consummated merger, consolidation or similar transaction in which our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A participant may not transfer stock awards under the 2026 Plan other than by will, the laws of descent and distribution, or as otherwise provided under the 2026 Plan. </w:t>
      </w:r>
    </w:p>
    <w:p>
      <w:pPr>
        <w:pStyle w:val="TextBody"/>
        <w:bidi w:val="0"/>
        <w:spacing w:before="240" w:after="0"/>
        <w:jc w:val="left"/>
        <w:rPr>
          <w:rFonts w:ascii="Times New Roman" w:hAnsi="Times New Roman"/>
          <w:sz w:val="20"/>
        </w:rPr>
      </w:pPr>
      <w:r>
        <w:rPr>
          <w:rFonts w:ascii="Times New Roman" w:hAnsi="Times New Roman"/>
          <w:i/>
          <w:sz w:val="20"/>
        </w:rPr>
        <w:t>Clawback/Recovery</w:t>
      </w:r>
      <w:r>
        <w:rPr>
          <w:rFonts w:ascii="Times New Roman" w:hAnsi="Times New Roman"/>
          <w:sz w:val="20"/>
        </w:rPr>
        <w:t xml:space="preserve">. All awards granted under the 2026 Plan will be subject to recoupment in accordance with any clawback policy that we are required to adopt pursuant to the listing standards of any national securities exchange or 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Our board of directors has the authority to amend, suspend, or terminate the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the 2026 Plan. No stock awards may be granted under the 2026 Plan while it is suspended or after it is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Company with respect to participation in the 2026 Plan.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2026 Plan. The 2026 Plan is not qualified under the provisions of Section 401(a) of the Code and is not subject to any of the provisions of the Employee Retirement Income Security Act of 1974, as amended. The Company’s ability to realize the benefit of any tax deductions described below depends on the Company’s generation of taxable income as well as the requirement of reasonableness and the satisfaction of the Company’s tax reporting obligations.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the Participants </w:t>
      </w:r>
    </w:p>
    <w:p>
      <w:pPr>
        <w:pStyle w:val="TextBody"/>
        <w:bidi w:val="0"/>
        <w:spacing w:before="120" w:after="0"/>
        <w:jc w:val="left"/>
        <w:rPr>
          <w:rFonts w:ascii="Times New Roman" w:hAnsi="Times New Roman"/>
          <w:sz w:val="20"/>
        </w:rPr>
      </w:pPr>
      <w:r>
        <w:rPr>
          <w:rFonts w:ascii="Times New Roman" w:hAnsi="Times New Roman"/>
          <w:i/>
          <w:sz w:val="20"/>
        </w:rPr>
        <w:t>Nonstatutory Stock Options</w:t>
      </w:r>
      <w:r>
        <w:rPr>
          <w:rFonts w:ascii="Times New Roman" w:hAnsi="Times New Roman"/>
          <w:sz w:val="20"/>
        </w:rPr>
        <w:t xml:space="preserve">. Generally, there is no taxation upon the grant of an NSO. Upon exercise, a participant will recognize ordinary income equal to the excess, if any, of the fair market value of the underlying stock on the date of exercise of the stock option over the exercise price. If the participant is employed by the Company or one of its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The 2026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IRS,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Generally, the recipient of a restricted stock unit award will generally recognize ordinary income at the time the 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Generally, the recipient of a stock appreciation right will recognize ordinary income equal to the fair market value of the stock or cash received upon such exercise. For any shares received upon exercise of a stock appreciation right, the participant’s tax basis in those shares will be equal to their fair market value on the date of exercise of the stock option, and the participant’s capital gain holding period for those shares will begin on the day after they are transferred to the participant.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requirement of reasonableness, the deduction limits under Section 162(m) of the Code and the satisfaction of a tax reporting obligation, the Company will generally be entitled to a tax deduction equal to the taxable ordinary income realized by the recipient of an award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Section 162(m) of the Code limits the Company’s ability to deduct compensation, for U.S. federal income tax purposes, paid during any year to a “covered employee” (within the meaning of Section 162(m) of the Code) in excess of $1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awards, if any, that will be granted to eligible persons under the 2026 Plan will be made in the discretion of our Board. Therefore, we cannot currently determine the benefits or number of shares subject to awards that may be granted under the 2026 Plan in the future nor may it determine the amounts that would have been granted in the last completed fiscal year if the 2026 Plan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If the 2026 Plan is approved by our stockholders and becomes effective, the Company intends to file a registration statement on Form S-8 registering the shares reserved for issuance under the 2026 Plan as soon as reasonably practicable after approval of this Proposal No. 4.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As of July 30, 2026, awards covering a total of 160,265 shares of the Company’s common stock have been contingently granted under the 2026 Plan, subject to stockholder approval of the 2026 Plan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No. 4. The following table shows information regarding the grant of such awards (regardless of whether subsequently exercised or forfeited) to the persons and groups identified below. </w:t>
      </w:r>
    </w:p>
    <w:p>
      <w:pPr>
        <w:pStyle w:val="TextBody"/>
        <w:bidi w:val="0"/>
        <w:spacing w:before="0" w:after="0"/>
        <w:jc w:val="left"/>
        <w:rPr/>
      </w:pPr>
      <w:r>
        <w:rPr/>
        <w:t> </w:t>
      </w:r>
    </w:p>
    <w:tbl>
      <w:tblPr>
        <w:tblW w:w="9234" w:type="dxa"/>
        <w:jc w:val="left"/>
        <w:tblInd w:w="0" w:type="dxa"/>
        <w:tblLayout w:type="fixed"/>
        <w:tblCellMar>
          <w:top w:w="0" w:type="dxa"/>
          <w:left w:w="0" w:type="dxa"/>
          <w:bottom w:w="0" w:type="dxa"/>
          <w:right w:w="0" w:type="dxa"/>
        </w:tblCellMar>
      </w:tblPr>
      <w:tblGrid>
        <w:gridCol w:w="6995"/>
        <w:gridCol w:w="120"/>
        <w:gridCol w:w="142"/>
        <w:gridCol w:w="1902"/>
        <w:gridCol w:w="75"/>
      </w:tblGrid>
      <w:tr>
        <w:trPr/>
        <w:tc>
          <w:tcPr>
            <w:tcW w:w="6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12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shares</w:t>
            </w:r>
            <w:r>
              <w:rPr/>
              <w:br/>
            </w:r>
            <w:r>
              <w:rPr>
                <w:b/>
              </w:rPr>
              <w:t>underlying RSUs(1)</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Militello, current Head of Finance and anticipated Chief Financial Officer</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right"/>
              <w:rPr/>
            </w:pPr>
            <w:r>
              <w:rPr/>
              <w:t>80,000</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 (3 persons)</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executive officers as a group (3 persons)</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902"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employees, including all current officers who are not executive officers, as a group</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pPr>
            <w:r>
              <w:rPr/>
              <w:t>160,265</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in the table above, the awards, if any, that will be granted to eligible persons under the 2026 Plan will be made in the discretion of the Company’s board of directors. Therefore, the Company cannot currently determine the benefits or number of shares subject to other awards that may be granted under the 2026 Plan in the future nor may it determine the amounts that would have been granted in the last completed fiscal year if the 2026 Plan had been in effect.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46981_11"/>
      <w:bookmarkEnd w:id="13"/>
      <w:r>
        <w:rPr>
          <w:rFonts w:ascii="Times New Roman" w:hAnsi="Times New Roman"/>
          <w:b/>
          <w:sz w:val="20"/>
        </w:rPr>
        <w:t xml:space="preserve">PROPOSAL NO. 5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THE 2026 ESPP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are also being asked to consider and vote upon the 2026 ESPP Proposal to approve the Company’s 2026 Employee Stock Purchase Plan (the “2026 ESPP”). Our board of directors approved the 2026 ESPP on July 30, 2026, subject to stockholder approval. If the Company’s stockholders approve the 2026 ESPP, the 2026 ESPP will immediately become effective. If the 2026 ESPP is not approved by the Company’s stockholders, it will not become effective. The 2026 ESPP is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The summary is qualified in its entirety by reference to the text of the 2026 ESPP, a copy of which is attached as Annex D to this Proxy Statement. The Company’s stockholders should refer to the 2026 ESPP for a more complete and detailed information about the terms and conditions of the 2026 ESPP. </w:t>
      </w:r>
    </w:p>
    <w:p>
      <w:pPr>
        <w:pStyle w:val="TextBody"/>
        <w:bidi w:val="0"/>
        <w:spacing w:before="360" w:after="0"/>
        <w:jc w:val="left"/>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2026 ESPP is to secure and retain the services of new employees, to retain the services of existing employees, and to provide incentives for such individuals to exert maximum efforts toward our success and that of our affiliates. Our 2026 ESPP will include two components. One component will be designed to allow eligible U.S. employees to purchase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 </w:t>
      </w:r>
    </w:p>
    <w:p>
      <w:pPr>
        <w:pStyle w:val="TextBody"/>
        <w:bidi w:val="0"/>
        <w:spacing w:before="240" w:after="0"/>
        <w:jc w:val="left"/>
        <w:rPr>
          <w:rFonts w:ascii="Times New Roman" w:hAnsi="Times New Roman"/>
          <w:sz w:val="20"/>
        </w:rPr>
      </w:pPr>
      <w:r>
        <w:rPr>
          <w:rFonts w:ascii="Times New Roman" w:hAnsi="Times New Roman"/>
          <w:i/>
          <w:sz w:val="20"/>
        </w:rPr>
        <w:t xml:space="preserve">Eligibility. </w:t>
      </w:r>
      <w:r>
        <w:rPr>
          <w:rFonts w:ascii="Times New Roman" w:hAnsi="Times New Roman"/>
          <w:sz w:val="20"/>
        </w:rPr>
        <w:t xml:space="preserve">Our employees and the employees of any of our designated affiliates, will be eligible to participate in the 2026 ESPP, provided they may have to satisfy one or more of the following service requirements before participating in the 2026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In addition, our board of directors may also exclude from participation in the 2026 ESPP or any offering, employees who are “highly compensated employees” (within the meaning of Section 423(b)(4)(D) of the Code) or a subset of such highly compensated employees. As of July 29, 2026, we had 28 employees. An employee may not be granted rights to purchase stock under the 423 Component of the 2026 ESPP (a) if such employee immediately after the grant would own stock (including stock issuable upon exercise of all such employee’s purchase rights) possessing 5% or more of the total combined voting power or value of all classes of our common stock or (b) to the extent that such rights would accrue at a rate that exceeds $25,000 worth of our common stock for each calendar year that the rights remain outstanding. Our board of directors may approve different eligibility rules for the Non-423 Component.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The 2026 ESPP authorizes the issuance of shares of our common stock under purchase rights granted to our employees or to employees of any of our designated affiliates. Subject to adjustment for specified changes in our capitalization, the maximum number of shares of our common stock that may be issued under the 2026 ESPP will not exceed 1% (the “Initial Share Reserve”). Additionally, the number of shares of our common stock reserved for issuance under the 2026 ESPP will automatically increase on January 1 of each calendar year, beginning on January 1, 2027 (assuming the 2026 ESPP becomes effective in 2026) through January 1, 2036, by the lesser of (i) 1% of the total number of shares of all classes of our common stock outstanding plus all shares of our common stock issuable upon the exercise of any pre-funded warrants (without regard to any beneficial ownership limitations), on December 31 of the preceding calendar year, and (ii) a number of shares equal to two times the Initial Share Reserve; provided that before the date of any such increase, our board of directors may determine that such increase will be less than the amount set forth in clauses (i) and (ii). As of July 30, 2026, the closing price of the Company’s common stock as reported on Nasdaq was $23.03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Our board of directors, or a duly authorized committee thereof, will administer our 2026 ESPP. Our board may delegate concurrent authority to administer the 2026 ESPP to our compensation committee under the terms of the compensation committee’s charter. The 2026 ESPP is implemented through a series of offerings under which eligible employees are granted purchase rights to purchase shares of our common stock on specified dates during such offerings. Under the 2026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2026 ESPP may be terminated under certain circumstances. </w:t>
      </w:r>
    </w:p>
    <w:p>
      <w:pPr>
        <w:pStyle w:val="TextBody"/>
        <w:bidi w:val="0"/>
        <w:spacing w:before="240" w:after="0"/>
        <w:jc w:val="left"/>
        <w:rPr>
          <w:rFonts w:ascii="Times New Roman" w:hAnsi="Times New Roman"/>
          <w:sz w:val="20"/>
        </w:rPr>
      </w:pPr>
      <w:r>
        <w:rPr>
          <w:rFonts w:ascii="Times New Roman" w:hAnsi="Times New Roman"/>
          <w:i/>
          <w:sz w:val="20"/>
        </w:rPr>
        <w:t>Payroll Deductions</w:t>
      </w:r>
      <w:r>
        <w:rPr>
          <w:rFonts w:ascii="Times New Roman" w:hAnsi="Times New Roman"/>
          <w:sz w:val="20"/>
        </w:rPr>
        <w:t xml:space="preserve">. Generally, all regular employees, including executive officers, employed by us or by any of our designated affiliates, will be eligible to participate in the 2026 ESPP and to contribute, normally through payroll deductions, up to a maximum percentage of their earnings (as defined in the 2026 ESPP) or up to a set dollar amount for the purchase of our common stock under the 2026 ESPP, in each case not exceeding 15% of the employee’s earnings. Unless otherwise determined by our board of directors, common stock will be purchased for the accounts of employees participating in the 2026 ESPP at a price per share that is at least the lesser of (i) 85% of the fair market value of a share of our common stock on the first date of an offering; or (ii) 85% of the fair market value of a share of our common stock on the date of purchase. </w:t>
      </w:r>
    </w:p>
    <w:p>
      <w:pPr>
        <w:pStyle w:val="TextBody"/>
        <w:bidi w:val="0"/>
        <w:spacing w:before="240" w:after="0"/>
        <w:jc w:val="left"/>
        <w:rPr>
          <w:rFonts w:ascii="Times New Roman" w:hAnsi="Times New Roman"/>
          <w:sz w:val="20"/>
        </w:rPr>
      </w:pPr>
      <w:r>
        <w:rPr>
          <w:rFonts w:ascii="Times New Roman" w:hAnsi="Times New Roman"/>
          <w:i/>
          <w:sz w:val="20"/>
        </w:rPr>
        <w:t>Limitations</w:t>
      </w:r>
      <w:r>
        <w:rPr>
          <w:rFonts w:ascii="Times New Roman" w:hAnsi="Times New Roman"/>
          <w:sz w:val="20"/>
        </w:rPr>
        <w:t xml:space="preserve">. Employees may have to satisfy one or more of the following service requirements before participating in the 2026 ESPP, as determined by our board of directors, including: (i) customary employment with us or one of our affiliates for more than 20 hours per week and more than five months per calendar year; or (ii) continuous employment with us or one of our affiliates for a minimum period of time (not to exceed two years). No employee may purchase shares under the 2026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2026 ESPP if immediately after such rights are granted, such employee has voting power over 5% or more of our outstanding capital stock measured by vote or value under Section 424(d) of the Code.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2026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certain significant corporate transactions, including the consummation, in a single 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and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2026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after such purchase. </w:t>
      </w:r>
    </w:p>
    <w:p>
      <w:pPr>
        <w:pStyle w:val="TextBody"/>
        <w:bidi w:val="0"/>
        <w:spacing w:before="240" w:after="0"/>
        <w:jc w:val="left"/>
        <w:rPr>
          <w:rFonts w:ascii="Times New Roman" w:hAnsi="Times New Roman"/>
          <w:sz w:val="20"/>
        </w:rPr>
      </w:pPr>
      <w:r>
        <w:rPr>
          <w:rFonts w:ascii="Times New Roman" w:hAnsi="Times New Roman"/>
          <w:i/>
          <w:sz w:val="20"/>
        </w:rPr>
        <w:t>2026 ESPP Amendment or Termination</w:t>
      </w:r>
      <w:r>
        <w:rPr>
          <w:rFonts w:ascii="Times New Roman" w:hAnsi="Times New Roman"/>
          <w:sz w:val="20"/>
        </w:rPr>
        <w:t xml:space="preserve">. Our board of directors has the authority to amend or terminate our 2026 ESPP, provided that except in certain circumstances such amendment or termination may not materially impair any outstanding purchase rights without the holder’s consent. We will obtain stockholder approval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to our 2026 ESPP as required by applicable law or listing requirements. If the 2026 ESPP is terminated, the Board, in its discretion, may elect to terminate all outstanding offerings either immediately or upon completion of the purchase of shares of common stock on the next purchase date (which may be sooner than originally scheduled, if determined by the Board in its discretion), or may elect to permit offering to expire in accordance with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Company with respect to participation in the 2026 ESPP.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the Company’s common stock acquired under the 2026 ESPP. The 2026 ESPP is not qualified under the provisions of Section 401(a) of the Code and is not subject to any of the provisions of the Employee Retirement Income Security Act of 1974, as amended.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Participants </w:t>
      </w:r>
    </w:p>
    <w:p>
      <w:pPr>
        <w:pStyle w:val="TextBody"/>
        <w:bidi w:val="0"/>
        <w:spacing w:before="120" w:after="0"/>
        <w:jc w:val="left"/>
        <w:rPr>
          <w:rFonts w:ascii="Times New Roman" w:hAnsi="Times New Roman"/>
          <w:sz w:val="20"/>
        </w:rPr>
      </w:pPr>
      <w:r>
        <w:rPr>
          <w:rFonts w:ascii="Times New Roman" w:hAnsi="Times New Roman"/>
          <w:i/>
          <w:sz w:val="20"/>
        </w:rPr>
        <w:t xml:space="preserve">423 Component of the 2026 ESPP. </w:t>
      </w:r>
      <w:r>
        <w:rPr>
          <w:rFonts w:ascii="Times New Roman" w:hAnsi="Times New Roman"/>
          <w:sz w:val="20"/>
        </w:rPr>
        <w:t xml:space="preserve">Rights granted under the 423 Component of the 2026 ESPP are intended to qualify for favorable U.S. federal income tax treatment associated with rights granted under an employee stock purchase plan which qualifies under the provisions of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A participant will be taxed on amounts withheld for the purchase of shares of the Company’s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 </w:t>
      </w:r>
    </w:p>
    <w:p>
      <w:pPr>
        <w:pStyle w:val="TextBody"/>
        <w:bidi w:val="0"/>
        <w:spacing w:before="240" w:after="0"/>
        <w:jc w:val="left"/>
        <w:rPr>
          <w:rFonts w:ascii="Times New Roman" w:hAnsi="Times New Roman"/>
          <w:sz w:val="20"/>
        </w:rPr>
      </w:pPr>
      <w:r>
        <w:rPr>
          <w:rFonts w:ascii="Times New Roman" w:hAnsi="Times New Roman"/>
          <w:sz w:val="20"/>
        </w:rPr>
        <w:t xml:space="preserve">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 </w:t>
      </w:r>
    </w:p>
    <w:p>
      <w:pPr>
        <w:pStyle w:val="TextBody"/>
        <w:bidi w:val="0"/>
        <w:spacing w:before="240" w:after="0"/>
        <w:jc w:val="left"/>
        <w:rPr>
          <w:rFonts w:ascii="Times New Roman" w:hAnsi="Times New Roman"/>
          <w:sz w:val="20"/>
        </w:rPr>
      </w:pPr>
      <w:r>
        <w:rPr>
          <w:rFonts w:ascii="Times New Roman" w:hAnsi="Times New Roman"/>
          <w:i/>
          <w:sz w:val="20"/>
        </w:rPr>
        <w:t xml:space="preserve">Non-423 Component. </w:t>
      </w:r>
      <w:r>
        <w:rPr>
          <w:rFonts w:ascii="Times New Roman" w:hAnsi="Times New Roman"/>
          <w:sz w:val="20"/>
        </w:rPr>
        <w:t xml:space="preserve">A participant will be taxed on amounts withheld for the purchase of shares of the Company’s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the Company or one of its affiliates, that income will be subject to withholding taxes. The participant’s tax basis in those shares will be equal to their fair market value on the date of exercise of the purchase right, and the participant’s capital gain holding period for those shares will begin on the day after they are transferred to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Tax Consequences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There are no U.S. federal income tax consequences to the Company by reason of the grant or exercise of rights under the 2026 ESPP. The Company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 Section 162(m) of the Code limits the Company’s ability to deduct compensation, for U.S. federal income tax purposes, paid during any year to a “covered employee” (within the meaning of Section 162(m) of the Code) in excess of $1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Participation in the 2026 ESPP is voluntary and each eligible employee will make his or her own decision regarding whether and to what extent to participate in the 2026 ESPP. Therefore, the Company cannot currently determine the benefits or number of shares subject to purchase rights and a new plan benefits table is thus not provided. In addition, the Company cannot determine the benefits or number of shares subject to purchase rights or that would have been received by an eligible employee in the last completed fiscal year if the 2026 ESPP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If the 2026 ESPP is approved by our stockholders and becomes effective, the Company intends to file a registration statement on Form S-8 registering the shares reserved for issuance under the 2026 ESPP as soon as reasonably practicable after the approval of this Proposal No. 5.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46981_12"/>
      <w:bookmarkEnd w:id="14"/>
      <w:r>
        <w:rPr>
          <w:rFonts w:ascii="Times New Roman" w:hAnsi="Times New Roman"/>
          <w:b/>
          <w:sz w:val="20"/>
        </w:rPr>
        <w:t xml:space="preserve">PROPOSAL NO. 6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ADJOURNMENT OR POSTPONEMENT OF THE SPECIAL MEETING TO A LATER DATE OR DATES, IF NECESSARY, TO SOLICIT VOTES FOR PROPOSALS NOS. 1, 2 AND/OR 3 </w:t>
      </w:r>
    </w:p>
    <w:p>
      <w:pPr>
        <w:pStyle w:val="TextBody"/>
        <w:bidi w:val="0"/>
        <w:spacing w:before="240" w:after="0"/>
        <w:jc w:val="left"/>
        <w:rPr>
          <w:rFonts w:ascii="Times New Roman" w:hAnsi="Times New Roman"/>
          <w:sz w:val="20"/>
        </w:rPr>
      </w:pPr>
      <w:r>
        <w:rPr>
          <w:rFonts w:ascii="Times New Roman" w:hAnsi="Times New Roman"/>
          <w:sz w:val="20"/>
        </w:rPr>
        <w:t xml:space="preserve">If at the Special Meeting the number of votes represented by shares of our common stock present or represented and voting in favor of any of Proposals Nos. 1, 2 and/or 3 is insufficient to approve the applicable Proposal, our management may postpone the Special Meeting prior to its scheduled time or move to adjourn the Special Meeting in order to enable our Board to continue to solicit additional proxies in favor of any of Proposals Nos. 1, 2 and/or 3. </w:t>
      </w:r>
    </w:p>
    <w:p>
      <w:pPr>
        <w:pStyle w:val="TextBody"/>
        <w:bidi w:val="0"/>
        <w:spacing w:before="240" w:after="0"/>
        <w:jc w:val="left"/>
        <w:rPr>
          <w:rFonts w:ascii="Times New Roman" w:hAnsi="Times New Roman"/>
          <w:sz w:val="20"/>
        </w:rPr>
      </w:pPr>
      <w:r>
        <w:rPr>
          <w:rFonts w:ascii="Times New Roman" w:hAnsi="Times New Roman"/>
          <w:sz w:val="20"/>
        </w:rPr>
        <w:t xml:space="preserve">In this Proposal No. 6, we are asking our stockholders to authorize the holder of any proxy solicited to vote in favor of adjourning, postponing or continuing the Special Meeting and any later adjournments. If our stockholders approve the adjournment, postponement or continuation proposal, we could adjourn, postpone or continue the Special Meeting, and any adjourned session of the Special Meeting, to use the additional time to solicit additional proxies in favor of any of Proposals Nos. 1, 2 and/or 3, including the solicitation of proxies from stockholders that have previously voted against the Proposals. If stockholder approval for this Proposal No. 6 is not obtained, then the Special Meeting will not be adjourned.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use our reasonable best efforts to secure the approvals sought in Proposal Nos. 1, 2 and 3 as soon as practicable following the date of the Special Meeting if they are not approved at the Special Meeting. We will be required to hold an annual meeting or a special meeting at least every six months to solicit and take a vote on the approvals sought in Proposal Nos. 1, 2 and 3 until such approvals are obtained.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240" w:after="0"/>
        <w:jc w:val="center"/>
        <w:rPr>
          <w:rFonts w:ascii="Times New Roman" w:hAnsi="Times New Roman"/>
          <w:b/>
          <w:sz w:val="20"/>
        </w:rPr>
      </w:pPr>
      <w:r>
        <w:rPr>
          <w:rFonts w:ascii="Times New Roman" w:hAnsi="Times New Roman"/>
          <w:b/>
          <w:sz w:val="20"/>
        </w:rPr>
        <w:t xml:space="preserve">A VOTE “FOR” PROPOSAL NO. 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46981_13"/>
      <w:bookmarkEnd w:id="15"/>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stock as of July 29, 2026 for: </w:t>
      </w:r>
    </w:p>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us to beneficially own more than 5% of our common stock;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entity, person, director or executive officer is determined in accordance with the rules of the SEC. These rules generally attribute beneficial ownership of securities to persons who possess sole or shared voting power or investment power with respect to those securities. Under these rules, beneficial ownership includes any shares of common stock over which the person has sole or shared voting power or investment power as well as any shares that the person has the right to acquire within 60 days after July 29, 2026 through the exercise of any stock option, warrant or other rights.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shares beneficially owned is based on 1,017,063 shares of our common stock outstanding as of July 29, 2026 (after giving effect to the Reverse Stock Split). Shares of our common stock that a person has the right to acquire within 60 days of July 29,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Due to the conversion limitations on the Series C Preferred Stock and the exercise limitations of the Warrants and Orphai Options, shares of common stock issuable upon the conversion of Series C Preferred Stock and exercise of the Warrants and Orphai Options, if approved by our stockholders, have been excluded from beneficial ownership set forth below. Except as otherwise noted below, the address for each beneficial owner listed is c/o Quince Therapeutics, Inc., 611 Gateway Boulevard, Suite 273, South San Francisco, California 94080.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0"/>
        <w:gridCol w:w="120"/>
        <w:gridCol w:w="152"/>
        <w:gridCol w:w="1728"/>
        <w:gridCol w:w="60"/>
        <w:gridCol w:w="120"/>
        <w:gridCol w:w="120"/>
        <w:gridCol w:w="1370"/>
        <w:gridCol w:w="60"/>
        <w:gridCol w:w="120"/>
        <w:gridCol w:w="160"/>
        <w:gridCol w:w="1825"/>
        <w:gridCol w:w="60"/>
        <w:gridCol w:w="120"/>
        <w:gridCol w:w="221"/>
        <w:gridCol w:w="1179"/>
        <w:gridCol w:w="290"/>
      </w:tblGrid>
      <w:tr>
        <w:trPr/>
        <w:tc>
          <w:tcPr>
            <w:tcW w:w="2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5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Options</w:t>
            </w:r>
            <w:r>
              <w:rPr/>
              <w:br/>
            </w:r>
            <w:r>
              <w:rPr>
                <w:b/>
              </w:rPr>
              <w:t>Exercisable</w:t>
            </w:r>
            <w:r>
              <w:rPr/>
              <w:br/>
            </w:r>
            <w:r>
              <w:rPr>
                <w:b/>
              </w:rPr>
              <w:t>within 60 days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pPr>
            <w:r>
              <w:rPr>
                <w:b/>
              </w:rPr>
              <w:t>Aggregate Number</w:t>
            </w:r>
            <w:r>
              <w:rPr/>
              <w:br/>
            </w:r>
            <w:r>
              <w:rPr>
                <w:b/>
              </w:rPr>
              <w:t>of Shares</w:t>
            </w:r>
            <w:r>
              <w:rPr/>
              <w:br/>
            </w:r>
            <w:r>
              <w:rPr>
                <w:b/>
              </w:rPr>
              <w:t>Beneficially 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w:t>
              <w:br/>
              <w:t>Total (%)</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Greater than 5% Stockholders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7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8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Millennium Group Management LLC(1)</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28,102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28,102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3.0</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7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8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Dirk Thye, M.D.(2)</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4,974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19,813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24,787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2.4</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Charles Ryan, J.D., Ph.D.</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3,049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3,699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Brendan Hannah</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1,809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6,003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7,812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A. Lamond(3)</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21,920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947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22,867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2.2</w:t>
            </w:r>
          </w:p>
        </w:tc>
        <w:tc>
          <w:tcPr>
            <w:tcW w:w="290" w:type="dxa"/>
            <w:tcBorders/>
            <w:shd w:fill="CCEEFF" w:val="clear"/>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J. Senner</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1,330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Bray</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2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Brigette Roberts, M.D.</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All executive officers and directors as a group (7 persons)(4)</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29,353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28,743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58,096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5.6</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with the SEC on June 10, 2026, consists of 28,102 shares of common stock held by entities subject to voting control and investment discretion by Millennium Management LLC and/or other investment managers that may be controlled by Millennium Group Management LLC (the managing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member of Millennium Management LLC) and Mr. Englander (the sole voting trustee of the managing member of Millennium Group Management LLC). The address for the foregoing entities and person is 399 Park Avenue, New York, New York 10022.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25,500 shares held of record by Dirk Thye (ii) 73,988 shares held of record by Thye Trust dated 12/13/2001. Dr. Thye is the trustee of the Thye Trust dated 12/13/2001 and holds sole voting and dispositive power with respect to the shares held of record by Thye Trust dated 12/13/2001.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30,182 shares held of record by David A. Lamond, (ii) 234,754 shares held of record by Blue Devil Trust dated 12/03/2010 and (iii) 173,472 shares held by the David A. Lamond Trust dated 2006. Mr. Lamond is the trustee of the Blue Devil Trust dated 12/03/2010 and the David A. Lamond Trust dated 2006 and holds sole voting and dispositive power with respect to the shares held of record by Blue Devil Trust dated 12/03/2010 and the David A. Lamond Trust dated 2006.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(4)</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beneficially owned by all current executive officers and directors of the Company. Consists of 29,353 shares of common stock and 28,743 shares of common stock underlying options that are exercisable within 60 days of July 29,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46981_14"/>
      <w:bookmarkEnd w:id="16"/>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All of the information contained in the sections below generally relates to our named executive officer compensation for fiscal years ended December 31, 2025 and 2024 and was included in our Definitive Proxy Statement on Schedule 14A for our 2026 annual meeting of stockholders filed with the SEC on April 27, 2026 (the “Annual Proxy Statement”). Since the date of the Annual Proxy Statement, (i) Dr. Roberts was appointed as our Chief Corporate Affairs Officer and a member of our Board on May 18, 2026 and (ii) we implemented the Reverse Stock Split effective on June 29, 2026. Except as set forth below or the context otherwise requires, the below share amounts and exercise prices give retroactive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(“NEOs”) for fiscal 2025 consisted of the following individuals: </w:t>
      </w:r>
    </w:p>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Dirk Thye, M.D., our Chief Executive Officer and Chief Medical Officer; </w:t>
            </w:r>
          </w:p>
        </w:tc>
      </w:tr>
    </w:tbl>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Charles Ryan, Ph.D., our President; and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Brendan Hannah, our Chief Operating Officer, Chief Business Officer, and Chief Compliance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of the compensation awarded to, earned by, or paid to each of the NEOs for their services rendered for the years ended December 31,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8"/>
        <w:gridCol w:w="120"/>
        <w:gridCol w:w="60"/>
        <w:gridCol w:w="500"/>
        <w:gridCol w:w="60"/>
        <w:gridCol w:w="120"/>
        <w:gridCol w:w="70"/>
        <w:gridCol w:w="940"/>
        <w:gridCol w:w="60"/>
        <w:gridCol w:w="120"/>
        <w:gridCol w:w="78"/>
        <w:gridCol w:w="1282"/>
        <w:gridCol w:w="60"/>
        <w:gridCol w:w="120"/>
        <w:gridCol w:w="140"/>
        <w:gridCol w:w="1880"/>
        <w:gridCol w:w="60"/>
        <w:gridCol w:w="120"/>
        <w:gridCol w:w="120"/>
        <w:gridCol w:w="1370"/>
        <w:gridCol w:w="60"/>
        <w:gridCol w:w="120"/>
        <w:gridCol w:w="60"/>
        <w:gridCol w:w="980"/>
        <w:gridCol w:w="77"/>
      </w:tblGrid>
      <w:tr>
        <w:trPr/>
        <w:tc>
          <w:tcPr>
            <w:tcW w:w="16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Position(s)</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Awards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2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r>
            <w:r>
              <w:rPr/>
              <w:br/>
            </w:r>
            <w:r>
              <w:rPr>
                <w:b/>
              </w:rPr>
              <w:t>Incentive Plan</w:t>
            </w:r>
            <w:r>
              <w:rPr/>
              <w:br/>
            </w:r>
            <w:r>
              <w:rPr>
                <w:b/>
              </w:rPr>
              <w:t>Compensation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7" w:type="dxa"/>
            <w:tcBorders/>
            <w:vAlign w:val="center"/>
          </w:tcPr>
          <w:p>
            <w:pPr>
              <w:pStyle w:val="TableContents"/>
              <w:bidi w:val="0"/>
              <w:spacing w:before="0" w:after="283"/>
              <w:jc w:val="left"/>
              <w:rPr/>
            </w:pPr>
            <w:r>
              <w:rPr/>
              <w:t> </w:t>
            </w:r>
          </w:p>
        </w:tc>
      </w:tr>
      <w:tr>
        <w:trPr/>
        <w:tc>
          <w:tcPr>
            <w:tcW w:w="162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Dirk Thye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1,644,000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295,625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2,493,625</w:t>
            </w:r>
          </w:p>
        </w:tc>
        <w:tc>
          <w:tcPr>
            <w:tcW w:w="77" w:type="dxa"/>
            <w:tcBorders/>
            <w:shd w:fill="CCEEFF" w:val="clear"/>
            <w:vAlign w:val="center"/>
          </w:tcPr>
          <w:p>
            <w:pPr>
              <w:pStyle w:val="TableContents"/>
              <w:bidi w:val="0"/>
              <w:spacing w:before="0" w:after="283"/>
              <w:jc w:val="left"/>
              <w:rPr/>
            </w:pPr>
            <w:r>
              <w:rPr/>
              <w:t> </w:t>
            </w:r>
          </w:p>
        </w:tc>
      </w:tr>
      <w:tr>
        <w:trPr/>
        <w:tc>
          <w:tcPr>
            <w:tcW w:w="16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i/>
                <w:sz w:val="20"/>
              </w:rPr>
              <w:t>Chief Executive Officer and</w:t>
            </w:r>
            <w:r>
              <w:rPr>
                <w:rFonts w:ascii="Times New Roman" w:hAnsi="Times New Roman"/>
                <w:sz w:val="20"/>
              </w:rPr>
              <w:t xml:space="preserve"> </w:t>
            </w:r>
            <w:r>
              <w:rPr>
                <w:rFonts w:ascii="Times New Roman" w:hAnsi="Times New Roman"/>
                <w:i/>
                <w:sz w:val="20"/>
              </w:rPr>
              <w:t>Chief Medical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1,965,000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213,125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2,732,125</w:t>
            </w:r>
          </w:p>
        </w:tc>
        <w:tc>
          <w:tcPr>
            <w:tcW w:w="77" w:type="dxa"/>
            <w:tcBorders/>
            <w:shd w:fill="CCEEFF" w:val="clear"/>
            <w:vAlign w:val="center"/>
          </w:tcPr>
          <w:p>
            <w:pPr>
              <w:pStyle w:val="TableContents"/>
              <w:bidi w:val="0"/>
              <w:spacing w:before="0" w:after="283"/>
              <w:jc w:val="left"/>
              <w:rPr/>
            </w:pPr>
            <w:r>
              <w:rPr/>
              <w:t> </w:t>
            </w:r>
          </w:p>
        </w:tc>
      </w:tr>
      <w:tr>
        <w:trPr/>
        <w:tc>
          <w:tcPr>
            <w:tcW w:w="162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Charles Ryan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411,000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pPr>
            <w:r>
              <w:rPr/>
              <w:t>207,500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25,600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1,144,100</w:t>
            </w:r>
          </w:p>
        </w:tc>
        <w:tc>
          <w:tcPr>
            <w:tcW w:w="77" w:type="dxa"/>
            <w:tcBorders/>
            <w:vAlign w:val="center"/>
          </w:tcPr>
          <w:p>
            <w:pPr>
              <w:pStyle w:val="TableContents"/>
              <w:bidi w:val="0"/>
              <w:spacing w:before="0" w:after="283"/>
              <w:jc w:val="left"/>
              <w:rPr/>
            </w:pPr>
            <w:r>
              <w:rPr/>
              <w:t> </w:t>
            </w:r>
          </w:p>
        </w:tc>
      </w:tr>
      <w:tr>
        <w:trPr/>
        <w:tc>
          <w:tcPr>
            <w:tcW w:w="1628"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189,950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pPr>
            <w:r>
              <w:rPr/>
              <w:t>177,500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25,600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893,050</w:t>
            </w:r>
          </w:p>
        </w:tc>
        <w:tc>
          <w:tcPr>
            <w:tcW w:w="77" w:type="dxa"/>
            <w:tcBorders/>
            <w:vAlign w:val="center"/>
          </w:tcPr>
          <w:p>
            <w:pPr>
              <w:pStyle w:val="TableContents"/>
              <w:bidi w:val="0"/>
              <w:spacing w:before="0" w:after="283"/>
              <w:jc w:val="left"/>
              <w:rPr/>
            </w:pPr>
            <w:r>
              <w:rPr/>
              <w:t> </w:t>
            </w:r>
          </w:p>
        </w:tc>
      </w:tr>
      <w:tr>
        <w:trPr/>
        <w:tc>
          <w:tcPr>
            <w:tcW w:w="162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Brendan Hannah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453,750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616,500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188,825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1,263,075</w:t>
            </w:r>
          </w:p>
        </w:tc>
        <w:tc>
          <w:tcPr>
            <w:tcW w:w="77" w:type="dxa"/>
            <w:tcBorders/>
            <w:shd w:fill="CCEEFF" w:val="clear"/>
            <w:vAlign w:val="center"/>
          </w:tcPr>
          <w:p>
            <w:pPr>
              <w:pStyle w:val="TableContents"/>
              <w:bidi w:val="0"/>
              <w:spacing w:before="0" w:after="283"/>
              <w:jc w:val="left"/>
              <w:rPr/>
            </w:pPr>
            <w:r>
              <w:rPr/>
              <w:t> </w:t>
            </w:r>
          </w:p>
        </w:tc>
      </w:tr>
      <w:tr>
        <w:trPr/>
        <w:tc>
          <w:tcPr>
            <w:tcW w:w="162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i/>
                <w:sz w:val="20"/>
              </w:rPr>
              <w:t>Chief Operating Officer,</w:t>
            </w:r>
            <w:r>
              <w:rPr>
                <w:rFonts w:ascii="Times New Roman" w:hAnsi="Times New Roman"/>
                <w:sz w:val="20"/>
              </w:rPr>
              <w:t xml:space="preserve"> </w:t>
            </w:r>
            <w:r>
              <w:rPr>
                <w:rFonts w:ascii="Times New Roman" w:hAnsi="Times New Roman"/>
                <w:i/>
                <w:sz w:val="20"/>
              </w:rPr>
              <w:t>Chief Business Officer and Chief</w:t>
            </w:r>
            <w:r>
              <w:rPr>
                <w:rFonts w:ascii="Times New Roman" w:hAnsi="Times New Roman"/>
                <w:sz w:val="20"/>
              </w:rPr>
              <w:t xml:space="preserve"> </w:t>
            </w:r>
            <w:r>
              <w:rPr>
                <w:rFonts w:ascii="Times New Roman" w:hAnsi="Times New Roman"/>
                <w:i/>
                <w:sz w:val="20"/>
              </w:rPr>
              <w:t>Compliance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425,000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786,000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150,875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1,365,875</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reflect the aggregate grant date fair value for financial statement reporting purposes of stock options granted in the indicated year as determined in accordance with FASB ASC Topic 718. These amounts reflect our accounting expense for these stock options and do not represent the actual economic value that may be realized by each named executive officer. There can be no assurance that these amounts will ever be realized. For information on the assumptions used in valuing these awards, refer to Note 9 to the historical financial statements included in our Annual Report on Form 10-K. As required by the SEC rules, the amounts shown exclude the impact of estimated forfeitures related to service-based vesting conditions.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shown in this column represent the annual performance bonus awards earned by our NEOs under our Executive Incentive Bonus Plan. Such bonuses are tied to achievement against clinical and regulatory goals and strategic objectives, with payouts determined after the close of the year and primarily based on our level of achievement against those corporate goals and compensation committee discretion. Payouts for 2025 occurred in the first quarter of 2026. For more information, please see the summary set forth below under the heading, “</w:t>
            </w:r>
            <w:r>
              <w:rPr>
                <w:rFonts w:ascii="Times New Roman" w:hAnsi="Times New Roman"/>
                <w:i/>
                <w:sz w:val="20"/>
              </w:rPr>
              <w:t>Executive Incentive Bonus Plan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85" w:type="dxa"/>
        <w:jc w:val="left"/>
        <w:tblInd w:w="0" w:type="dxa"/>
        <w:tblLayout w:type="fixed"/>
        <w:tblCellMar>
          <w:top w:w="0" w:type="dxa"/>
          <w:left w:w="0" w:type="dxa"/>
          <w:bottom w:w="0" w:type="dxa"/>
          <w:right w:w="0" w:type="dxa"/>
        </w:tblCellMar>
      </w:tblPr>
      <w:tblGrid>
        <w:gridCol w:w="305"/>
        <w:gridCol w:w="8180"/>
      </w:tblGrid>
      <w:tr>
        <w:trPr/>
        <w:tc>
          <w:tcPr>
            <w:tcW w:w="305" w:type="dxa"/>
            <w:tcBorders/>
            <w:vAlign w:val="center"/>
          </w:tcPr>
          <w:p>
            <w:pPr>
              <w:pStyle w:val="TableContents"/>
              <w:bidi w:val="0"/>
              <w:spacing w:before="0" w:after="283"/>
              <w:jc w:val="left"/>
              <w:rPr/>
            </w:pPr>
            <w:r>
              <w:rPr/>
              <w:t>(3)</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table below shows the components of “All Other Compensation” for each of our NEOs for 2025. </w:t>
            </w:r>
          </w:p>
        </w:tc>
      </w:tr>
    </w:tbl>
    <w:p>
      <w:pPr>
        <w:pStyle w:val="TextBody"/>
        <w:bidi w:val="0"/>
        <w:spacing w:before="0" w:after="0"/>
        <w:jc w:val="left"/>
        <w:rPr/>
      </w:pPr>
      <w:r>
        <w:rPr/>
        <w:t> </w:t>
      </w:r>
    </w:p>
    <w:tbl>
      <w:tblPr>
        <w:tblW w:w="6633" w:type="dxa"/>
        <w:jc w:val="left"/>
        <w:tblInd w:w="0" w:type="dxa"/>
        <w:tblLayout w:type="fixed"/>
        <w:tblCellMar>
          <w:top w:w="0" w:type="dxa"/>
          <w:left w:w="0" w:type="dxa"/>
          <w:bottom w:w="0" w:type="dxa"/>
          <w:right w:w="0" w:type="dxa"/>
        </w:tblCellMar>
      </w:tblPr>
      <w:tblGrid>
        <w:gridCol w:w="1490"/>
        <w:gridCol w:w="120"/>
        <w:gridCol w:w="177"/>
        <w:gridCol w:w="1657"/>
        <w:gridCol w:w="60"/>
        <w:gridCol w:w="120"/>
        <w:gridCol w:w="151"/>
        <w:gridCol w:w="1713"/>
        <w:gridCol w:w="60"/>
        <w:gridCol w:w="120"/>
        <w:gridCol w:w="72"/>
        <w:gridCol w:w="818"/>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Retirement Plan</w:t>
              <w:br/>
              <w:t>Contributions (A)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 (B)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Dirk Thye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4,000</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Charles Ryan</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right"/>
              <w:rPr/>
            </w:pPr>
            <w:r>
              <w:rPr/>
              <w:t>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21,600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25,600</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Brendan Hannah</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175" w:type="dxa"/>
        <w:jc w:val="left"/>
        <w:tblInd w:w="0" w:type="dxa"/>
        <w:tblLayout w:type="fixed"/>
        <w:tblCellMar>
          <w:top w:w="0" w:type="dxa"/>
          <w:left w:w="0" w:type="dxa"/>
          <w:bottom w:w="0" w:type="dxa"/>
          <w:right w:w="0" w:type="dxa"/>
        </w:tblCellMar>
      </w:tblPr>
      <w:tblGrid>
        <w:gridCol w:w="365"/>
        <w:gridCol w:w="8810"/>
      </w:tblGrid>
      <w:tr>
        <w:trPr/>
        <w:tc>
          <w:tcPr>
            <w:tcW w:w="365" w:type="dxa"/>
            <w:tcBorders/>
            <w:vAlign w:val="center"/>
          </w:tcPr>
          <w:p>
            <w:pPr>
              <w:pStyle w:val="TableContents"/>
              <w:bidi w:val="0"/>
              <w:spacing w:before="0" w:after="283"/>
              <w:jc w:val="left"/>
              <w:rPr/>
            </w:pPr>
            <w:r>
              <w:rPr/>
              <w:t>(A)</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Company matching contribution to the accounts of our NEOs in the Company’s 401(k) plan. </w:t>
            </w:r>
          </w:p>
        </w:tc>
      </w:tr>
    </w:tbl>
    <w:tbl>
      <w:tblPr>
        <w:tblW w:w="6730" w:type="dxa"/>
        <w:jc w:val="left"/>
        <w:tblInd w:w="0" w:type="dxa"/>
        <w:tblLayout w:type="fixed"/>
        <w:tblCellMar>
          <w:top w:w="0" w:type="dxa"/>
          <w:left w:w="0" w:type="dxa"/>
          <w:bottom w:w="0" w:type="dxa"/>
          <w:right w:w="0" w:type="dxa"/>
        </w:tblCellMar>
      </w:tblPr>
      <w:tblGrid>
        <w:gridCol w:w="350"/>
        <w:gridCol w:w="6380"/>
      </w:tblGrid>
      <w:tr>
        <w:trPr/>
        <w:tc>
          <w:tcPr>
            <w:tcW w:w="350" w:type="dxa"/>
            <w:tcBorders/>
            <w:vAlign w:val="center"/>
          </w:tcPr>
          <w:p>
            <w:pPr>
              <w:pStyle w:val="TableContents"/>
              <w:bidi w:val="0"/>
              <w:spacing w:before="0" w:after="283"/>
              <w:jc w:val="left"/>
              <w:rPr/>
            </w:pPr>
            <w:r>
              <w:rPr/>
              <w:t>(B)</w:t>
            </w:r>
          </w:p>
        </w:tc>
        <w:tc>
          <w:tcPr>
            <w:tcW w:w="6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compensation for health insurance premiums of $1,800 per month.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outstanding equity awards held by each of our NEOs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2"/>
        <w:gridCol w:w="120"/>
        <w:gridCol w:w="60"/>
        <w:gridCol w:w="646"/>
        <w:gridCol w:w="60"/>
        <w:gridCol w:w="120"/>
        <w:gridCol w:w="178"/>
        <w:gridCol w:w="1492"/>
        <w:gridCol w:w="60"/>
        <w:gridCol w:w="120"/>
        <w:gridCol w:w="209"/>
        <w:gridCol w:w="1956"/>
        <w:gridCol w:w="60"/>
        <w:gridCol w:w="120"/>
        <w:gridCol w:w="139"/>
        <w:gridCol w:w="1306"/>
        <w:gridCol w:w="60"/>
        <w:gridCol w:w="120"/>
        <w:gridCol w:w="70"/>
        <w:gridCol w:w="805"/>
        <w:gridCol w:w="60"/>
        <w:gridCol w:w="120"/>
        <w:gridCol w:w="60"/>
        <w:gridCol w:w="1061"/>
        <w:gridCol w:w="351"/>
      </w:tblGrid>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5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82"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351" w:type="dxa"/>
            <w:tcBorders/>
            <w:vAlign w:val="center"/>
          </w:tcPr>
          <w:p>
            <w:pPr>
              <w:pStyle w:val="TableContents"/>
              <w:bidi w:val="0"/>
              <w:spacing w:before="0" w:after="283"/>
              <w:jc w:val="left"/>
              <w:rPr/>
            </w:pPr>
            <w:r>
              <w:rPr/>
              <w:t> </w:t>
            </w:r>
          </w:p>
        </w:tc>
      </w:tr>
      <w:tr>
        <w:trPr/>
        <w:tc>
          <w:tcPr>
            <w:tcW w:w="85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Securities</w:t>
            </w:r>
            <w:r>
              <w:rPr/>
              <w:br/>
            </w:r>
            <w:r>
              <w:rPr>
                <w:b/>
              </w:rPr>
              <w:t>Underlying</w:t>
            </w:r>
            <w:r>
              <w:rPr/>
              <w:br/>
            </w:r>
            <w:r>
              <w:rPr>
                <w:b/>
              </w:rPr>
              <w:t>Unexercised</w:t>
            </w:r>
            <w:r>
              <w:rPr/>
              <w:br/>
            </w:r>
            <w:r>
              <w:rPr>
                <w:b/>
              </w:rPr>
              <w:t>Options (#)</w:t>
            </w:r>
            <w:r>
              <w:rPr/>
              <w:br/>
            </w:r>
            <w:r>
              <w:rPr>
                <w:b/>
              </w:rP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r>
            <w:r>
              <w:rPr/>
              <w:br/>
            </w:r>
            <w:r>
              <w:rPr>
                <w:b/>
              </w:rPr>
              <w:t>Underlying</w:t>
            </w:r>
            <w:r>
              <w:rPr/>
              <w:br/>
            </w:r>
            <w:r>
              <w:rPr>
                <w:b/>
              </w:rPr>
              <w:t>Unexercised</w:t>
            </w:r>
            <w:r>
              <w:rPr/>
              <w:br/>
            </w:r>
            <w:r>
              <w:rPr>
                <w:b/>
              </w:rPr>
              <w:t>Options (#)</w:t>
            </w:r>
            <w:r>
              <w:rPr/>
              <w:br/>
            </w:r>
            <w:r>
              <w:rPr>
                <w:b/>
              </w:rP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br/>
              <w:t>Exercise</w:t>
            </w:r>
            <w:r>
              <w:rPr/>
              <w:br/>
            </w:r>
            <w:r>
              <w:rPr>
                <w:b/>
              </w:rP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w:t>
            </w:r>
            <w:r>
              <w:rPr/>
              <w:br/>
            </w:r>
            <w:r>
              <w:rPr>
                <w:b/>
              </w:rPr>
              <w:t>Date</w:t>
            </w:r>
          </w:p>
        </w:tc>
        <w:tc>
          <w:tcPr>
            <w:tcW w:w="351" w:type="dxa"/>
            <w:tcBorders/>
            <w:vAlign w:val="center"/>
          </w:tcPr>
          <w:p>
            <w:pPr>
              <w:pStyle w:val="TableContents"/>
              <w:bidi w:val="0"/>
              <w:spacing w:before="0" w:after="283"/>
              <w:jc w:val="left"/>
              <w:rPr/>
            </w:pPr>
            <w:r>
              <w:rPr/>
              <w:t> </w:t>
            </w:r>
          </w:p>
        </w:tc>
      </w:tr>
      <w:tr>
        <w:trPr/>
        <w:tc>
          <w:tcPr>
            <w:tcW w:w="8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Dirk Thye, 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5/19/2022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3/23/2022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517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3/23/2032</w:t>
            </w:r>
          </w:p>
        </w:tc>
        <w:tc>
          <w:tcPr>
            <w:tcW w:w="351" w:type="dxa"/>
            <w:tcBorders/>
            <w:shd w:fill="CCEEFF" w:val="clear"/>
            <w:vAlign w:val="center"/>
          </w:tcPr>
          <w:p>
            <w:pPr>
              <w:pStyle w:val="TableContents"/>
              <w:bidi w:val="0"/>
              <w:spacing w:before="0" w:after="283"/>
              <w:jc w:val="left"/>
              <w:rPr/>
            </w:pPr>
            <w:r>
              <w:rPr/>
              <w:t>(1)(2)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5/23/2022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5/23/2022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8,867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5/23/2032</w:t>
            </w:r>
          </w:p>
        </w:tc>
        <w:tc>
          <w:tcPr>
            <w:tcW w:w="351" w:type="dxa"/>
            <w:tcBorders/>
            <w:vAlign w:val="center"/>
          </w:tcPr>
          <w:p>
            <w:pPr>
              <w:pStyle w:val="TableContents"/>
              <w:bidi w:val="0"/>
              <w:spacing w:before="0" w:after="283"/>
              <w:jc w:val="left"/>
              <w:rPr/>
            </w:pPr>
            <w:r>
              <w:rPr/>
              <w:t>(1)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2/1/2033</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2/1/2024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3,749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3,750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2/1/2034</w:t>
            </w:r>
          </w:p>
        </w:tc>
        <w:tc>
          <w:tcPr>
            <w:tcW w:w="351" w:type="dxa"/>
            <w:tcBorders/>
            <w:vAlign w:val="center"/>
          </w:tcPr>
          <w:p>
            <w:pPr>
              <w:pStyle w:val="TableContents"/>
              <w:bidi w:val="0"/>
              <w:spacing w:before="0" w:after="283"/>
              <w:jc w:val="left"/>
              <w:rPr/>
            </w:pPr>
            <w:r>
              <w:rPr/>
              <w:t>(3)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1/28/2025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1,499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1/28/2035</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Charles Ryan, Ph.D.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9/1/2023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1,589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9/1/2033</w:t>
            </w:r>
          </w:p>
        </w:tc>
        <w:tc>
          <w:tcPr>
            <w:tcW w:w="351" w:type="dxa"/>
            <w:tcBorders/>
            <w:vAlign w:val="center"/>
          </w:tcPr>
          <w:p>
            <w:pPr>
              <w:pStyle w:val="TableContents"/>
              <w:bidi w:val="0"/>
              <w:spacing w:before="0" w:after="283"/>
              <w:jc w:val="left"/>
              <w:rPr/>
            </w:pPr>
            <w:r>
              <w:rPr/>
              <w:t>(1)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362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2/1/2034</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1/28/2025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374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1/28/2035</w:t>
            </w:r>
          </w:p>
        </w:tc>
        <w:tc>
          <w:tcPr>
            <w:tcW w:w="351" w:type="dxa"/>
            <w:tcBorders/>
            <w:vAlign w:val="center"/>
          </w:tcPr>
          <w:p>
            <w:pPr>
              <w:pStyle w:val="TableContents"/>
              <w:bidi w:val="0"/>
              <w:spacing w:before="0" w:after="283"/>
              <w:jc w:val="left"/>
              <w:rPr/>
            </w:pPr>
            <w:r>
              <w:rPr/>
              <w:t>(3) </w:t>
            </w:r>
          </w:p>
        </w:tc>
      </w:tr>
      <w:tr>
        <w:trPr/>
        <w:tc>
          <w:tcPr>
            <w:tcW w:w="8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Brendan Hannah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5/19/2022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3/23/2022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3/23/2032</w:t>
            </w:r>
          </w:p>
        </w:tc>
        <w:tc>
          <w:tcPr>
            <w:tcW w:w="351" w:type="dxa"/>
            <w:tcBorders/>
            <w:shd w:fill="CCEEFF" w:val="clear"/>
            <w:vAlign w:val="center"/>
          </w:tcPr>
          <w:p>
            <w:pPr>
              <w:pStyle w:val="TableContents"/>
              <w:bidi w:val="0"/>
              <w:spacing w:before="0" w:after="283"/>
              <w:jc w:val="left"/>
              <w:rPr/>
            </w:pPr>
            <w:r>
              <w:rPr/>
              <w:t>(1)(2)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5/23/2022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5/23/2022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1,584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5/23/2032</w:t>
            </w:r>
          </w:p>
        </w:tc>
        <w:tc>
          <w:tcPr>
            <w:tcW w:w="351" w:type="dxa"/>
            <w:tcBorders/>
            <w:vAlign w:val="center"/>
          </w:tcPr>
          <w:p>
            <w:pPr>
              <w:pStyle w:val="TableContents"/>
              <w:bidi w:val="0"/>
              <w:spacing w:before="0" w:after="283"/>
              <w:jc w:val="left"/>
              <w:rPr/>
            </w:pPr>
            <w:r>
              <w:rPr/>
              <w:t>(1)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2/1/2033</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10/24/2023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10/23/2023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198.40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10/24/2033</w:t>
            </w:r>
          </w:p>
        </w:tc>
        <w:tc>
          <w:tcPr>
            <w:tcW w:w="351" w:type="dxa"/>
            <w:tcBorders/>
            <w:vAlign w:val="center"/>
          </w:tcPr>
          <w:p>
            <w:pPr>
              <w:pStyle w:val="TableContents"/>
              <w:bidi w:val="0"/>
              <w:spacing w:before="0" w:after="283"/>
              <w:jc w:val="left"/>
              <w:rPr/>
            </w:pPr>
            <w:r>
              <w:rPr/>
              <w:t>(3) </w:t>
            </w:r>
          </w:p>
        </w:tc>
      </w:tr>
      <w:tr>
        <w:trPr/>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56" w:type="dxa"/>
            <w:tcBorders/>
            <w:shd w:fill="CCEEFF" w:val="clear"/>
            <w:vAlign w:val="center"/>
          </w:tcPr>
          <w:p>
            <w:pPr>
              <w:pStyle w:val="TableContents"/>
              <w:bidi w:val="0"/>
              <w:spacing w:before="0" w:after="283"/>
              <w:jc w:val="right"/>
              <w:rPr/>
            </w:pPr>
            <w:r>
              <w:rPr/>
              <w:t>1,499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2/1/2034</w:t>
            </w:r>
          </w:p>
        </w:tc>
        <w:tc>
          <w:tcPr>
            <w:tcW w:w="351" w:type="dxa"/>
            <w:tcBorders/>
            <w:shd w:fill="CCEEFF" w:val="clear"/>
            <w:vAlign w:val="center"/>
          </w:tcPr>
          <w:p>
            <w:pPr>
              <w:pStyle w:val="TableContents"/>
              <w:bidi w:val="0"/>
              <w:spacing w:before="0" w:after="283"/>
              <w:jc w:val="left"/>
              <w:rPr/>
            </w:pPr>
            <w:r>
              <w:rPr/>
              <w:t>(3) </w:t>
            </w:r>
          </w:p>
        </w:tc>
      </w:tr>
      <w:tr>
        <w:trPr/>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1/28/2025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56" w:type="dxa"/>
            <w:tcBorders/>
            <w:vAlign w:val="center"/>
          </w:tcPr>
          <w:p>
            <w:pPr>
              <w:pStyle w:val="TableContents"/>
              <w:bidi w:val="0"/>
              <w:spacing w:before="0" w:after="283"/>
              <w:jc w:val="right"/>
              <w:rPr/>
            </w:pPr>
            <w:r>
              <w:rPr/>
              <w:t>562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1,687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1/28/2035</w:t>
            </w:r>
          </w:p>
        </w:tc>
        <w:tc>
          <w:tcPr>
            <w:tcW w:w="351" w:type="dxa"/>
            <w:tcBorders/>
            <w:vAlign w:val="center"/>
          </w:tcPr>
          <w:p>
            <w:pPr>
              <w:pStyle w:val="TableContents"/>
              <w:bidi w:val="0"/>
              <w:spacing w:before="0" w:after="283"/>
              <w:jc w:val="left"/>
              <w:rPr/>
            </w:pPr>
            <w:r>
              <w:rPr/>
              <w:t>(3) </w:t>
            </w:r>
          </w:p>
        </w:tc>
      </w:tr>
    </w:tbl>
    <w:p>
      <w:pPr>
        <w:pStyle w:val="TextBody"/>
        <w:bidi w:val="0"/>
        <w:spacing w:lineRule="atLeast" w:line="160" w:before="0" w:after="40"/>
        <w:jc w:val="left"/>
        <w:rPr>
          <w:bdr w:val="single" w:sz="2" w:space="1" w:color="000000"/>
        </w:rPr>
      </w:pPr>
      <w:r>
        <w:rPr>
          <w:bdr w:val="single" w:sz="2" w:space="1" w:color="000000"/>
        </w:rPr>
        <w:t> </w:t>
      </w:r>
    </w:p>
    <w:tbl>
      <w:tblPr>
        <w:tblW w:w="7510" w:type="dxa"/>
        <w:jc w:val="left"/>
        <w:tblInd w:w="0" w:type="dxa"/>
        <w:tblLayout w:type="fixed"/>
        <w:tblCellMar>
          <w:top w:w="0" w:type="dxa"/>
          <w:left w:w="0" w:type="dxa"/>
          <w:bottom w:w="0" w:type="dxa"/>
          <w:right w:w="0" w:type="dxa"/>
        </w:tblCellMar>
      </w:tblPr>
      <w:tblGrid>
        <w:gridCol w:w="155"/>
        <w:gridCol w:w="7355"/>
      </w:tblGrid>
      <w:tr>
        <w:trPr/>
        <w:tc>
          <w:tcPr>
            <w:tcW w:w="155"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retroactive effect to the April 2026 Reverse Stock Split and the Reverse Stock Split.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stock option vest over a four-year period, with 25% vesting on one-year-anniversary from the vesting commencement date, and the balance vesting each month over the remaining three-year period, subject to the NEO providing continued service to us through each vesting date. </w:t>
            </w:r>
          </w:p>
        </w:tc>
      </w:tr>
    </w:tbl>
    <w:tbl>
      <w:tblPr>
        <w:tblW w:w="9745" w:type="dxa"/>
        <w:jc w:val="left"/>
        <w:tblInd w:w="0" w:type="dxa"/>
        <w:tblLayout w:type="fixed"/>
        <w:tblCellMar>
          <w:top w:w="0" w:type="dxa"/>
          <w:left w:w="0" w:type="dxa"/>
          <w:bottom w:w="0" w:type="dxa"/>
          <w:right w:w="0" w:type="dxa"/>
        </w:tblCellMar>
      </w:tblPr>
      <w:tblGrid>
        <w:gridCol w:w="305"/>
        <w:gridCol w:w="9440"/>
      </w:tblGrid>
      <w:tr>
        <w:trPr/>
        <w:tc>
          <w:tcPr>
            <w:tcW w:w="305" w:type="dxa"/>
            <w:tcBorders/>
            <w:vAlign w:val="center"/>
          </w:tcPr>
          <w:p>
            <w:pPr>
              <w:pStyle w:val="TableContents"/>
              <w:bidi w:val="0"/>
              <w:spacing w:before="0" w:after="283"/>
              <w:jc w:val="left"/>
              <w:rPr/>
            </w:pPr>
            <w:r>
              <w:rPr/>
              <w:t>(2)</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equity awards were assumed in connection with the Company’s merger with Novosteo, Inc. on May 19, 2022.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stock option vest over a four-year period, with 1/48th of the shares vesting and becoming exercisable one month after the vesting commencement date, and an additional 1/48th of the shares subject to such option vest and become exercisable each month thereafter, subject to the NEO providing continued service to us through each vesting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AND OUTSTANDING EQUITY AWARDS TABLE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generally consists of, and is intended to strike a balance among, the following three principal components: base salary, annual performance-based bonuses, and long-term incentive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We also provide our executive officers with severance and change-in-control benefits, as well as other benefits available to all our employees, including retirement benefits under the Company’s 401(k) plan and participation in employee benefit plans.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Incentive Bonus Plan </w:t>
      </w:r>
    </w:p>
    <w:p>
      <w:pPr>
        <w:pStyle w:val="TextBody"/>
        <w:bidi w:val="0"/>
        <w:spacing w:before="120" w:after="0"/>
        <w:jc w:val="left"/>
        <w:rPr>
          <w:rFonts w:ascii="Times New Roman" w:hAnsi="Times New Roman"/>
          <w:sz w:val="20"/>
        </w:rPr>
      </w:pPr>
      <w:r>
        <w:rPr>
          <w:rFonts w:ascii="Times New Roman" w:hAnsi="Times New Roman"/>
          <w:sz w:val="20"/>
        </w:rPr>
        <w:t xml:space="preserve">Each of our NEOs is eligible to participate in our Executive Incentive Bonus Plan (“Bonus Plan”). The purpose of the Bonus Plan is to motivate and reward eligible officers and other designated employees for their contributions toward the achievement of certain performance goals. Each NEO is eligible to receive a performance bonus based on (1) the individual’s target bonus, as a percentage of base salary, and (2) the percentage attainment of performance goals established by the compensation committee. For 2025, the targets for each Named Executive Officer, as a percentage of base salary, were as follows: 50% for Dr. Thye, 40% for Dr. Ryan, and 40% for Mr. Hannah. On January 23, 2026, the compensation committee determined that 107.5% of the corporate objectives were achieved for 2025 and therefore each of Dr. Thye, Dr. Ryan, and Mr. Hannah were entitled to be paid out bonuses at 107.5% of the corporate goal achievement. </w:t>
      </w:r>
    </w:p>
    <w:p>
      <w:pPr>
        <w:pStyle w:val="TextBody"/>
        <w:bidi w:val="0"/>
        <w:spacing w:before="360" w:after="0"/>
        <w:jc w:val="left"/>
        <w:rPr>
          <w:rFonts w:ascii="Times New Roman" w:hAnsi="Times New Roman"/>
          <w:b/>
          <w:sz w:val="20"/>
        </w:rPr>
      </w:pPr>
      <w:r>
        <w:rPr>
          <w:rFonts w:ascii="Times New Roman" w:hAnsi="Times New Roman"/>
          <w:b/>
          <w:sz w:val="20"/>
        </w:rPr>
        <w:t xml:space="preserve">Long-Term Incentives </w:t>
      </w:r>
    </w:p>
    <w:p>
      <w:pPr>
        <w:pStyle w:val="TextBody"/>
        <w:bidi w:val="0"/>
        <w:spacing w:before="120" w:after="0"/>
        <w:jc w:val="left"/>
        <w:rPr>
          <w:rFonts w:ascii="Times New Roman" w:hAnsi="Times New Roman"/>
          <w:sz w:val="20"/>
        </w:rPr>
      </w:pPr>
      <w:r>
        <w:rPr>
          <w:rFonts w:ascii="Times New Roman" w:hAnsi="Times New Roman"/>
          <w:sz w:val="20"/>
        </w:rPr>
        <w:t xml:space="preserve">On January 28, 2025, Dr. Thye, Dr. Ryan, and Mr. Hannah received options to purchase 6,000, 1,500, and 2,250 shares of common stock, respectively, with an exercise price of $320.00 per share. The options vest in equal monthly installments over a four-year period beginning on January 1, 2025, subject to the NEOs’ continuous service with the Company through each applicable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and Separation Agreements with Our NEOs </w:t>
      </w:r>
    </w:p>
    <w:p>
      <w:pPr>
        <w:pStyle w:val="TextBody"/>
        <w:bidi w:val="0"/>
        <w:spacing w:before="120" w:after="0"/>
        <w:jc w:val="left"/>
        <w:rPr>
          <w:rFonts w:ascii="Times New Roman" w:hAnsi="Times New Roman"/>
          <w:sz w:val="20"/>
        </w:rPr>
      </w:pPr>
      <w:r>
        <w:rPr>
          <w:rFonts w:ascii="Times New Roman" w:hAnsi="Times New Roman"/>
          <w:sz w:val="20"/>
        </w:rPr>
        <w:t xml:space="preserve">We have offer letter agreements and separation agreements with each of our NEOs. The agreements generally provide for at-will employment and set forth the executive officer’s initial base salary, annual performance bonus opportunity, initial equity grant amount and eligibility for employee benefits. The key terms of the offer letters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Dirk Thye, M.D. </w:t>
      </w:r>
    </w:p>
    <w:p>
      <w:pPr>
        <w:pStyle w:val="TextBody"/>
        <w:bidi w:val="0"/>
        <w:spacing w:before="120" w:after="0"/>
        <w:jc w:val="left"/>
        <w:rPr>
          <w:rFonts w:ascii="Times New Roman" w:hAnsi="Times New Roman"/>
          <w:sz w:val="20"/>
        </w:rPr>
      </w:pPr>
      <w:r>
        <w:rPr>
          <w:rFonts w:ascii="Times New Roman" w:hAnsi="Times New Roman"/>
          <w:sz w:val="20"/>
        </w:rPr>
        <w:t xml:space="preserve">In May 2022, we entered into an offer letter with Dr. Thye, our current Chief Executive Officer and Chief Medical Officer. The offer letter has no specific term and provides for at-will employment. Dr. Thye’s annual base salary was $550,000 for fiscal year 2025. Dr. Thye is also eligible to earn a discretionary annual bonus based on achievement of specified performance goals. Dr. Thye’s target bonus was 50% of his annual base salary for fiscal year 2025. </w:t>
      </w:r>
    </w:p>
    <w:p>
      <w:pPr>
        <w:pStyle w:val="TextBody"/>
        <w:bidi w:val="0"/>
        <w:spacing w:before="240" w:after="0"/>
        <w:jc w:val="left"/>
        <w:rPr>
          <w:rFonts w:ascii="Times New Roman" w:hAnsi="Times New Roman"/>
          <w:sz w:val="20"/>
        </w:rPr>
      </w:pPr>
      <w:r>
        <w:rPr>
          <w:rFonts w:ascii="Times New Roman" w:hAnsi="Times New Roman"/>
          <w:sz w:val="20"/>
        </w:rPr>
        <w:t>In connection with the Acquisition, the Board approved a retention bonus of $700,000 for Dr. Thye, which will be paid only if the respective officer continues to remain employed by the Company through the approval of the Company Stockholder Matters.</w:t>
      </w:r>
    </w:p>
    <w:p>
      <w:pPr>
        <w:pStyle w:val="TextBody"/>
        <w:bidi w:val="0"/>
        <w:spacing w:before="240" w:after="0"/>
        <w:jc w:val="left"/>
        <w:rPr>
          <w:rFonts w:ascii="Times New Roman" w:hAnsi="Times New Roman"/>
          <w:sz w:val="20"/>
        </w:rPr>
      </w:pPr>
      <w:r>
        <w:rPr>
          <w:rFonts w:ascii="Times New Roman" w:hAnsi="Times New Roman"/>
          <w:sz w:val="20"/>
        </w:rPr>
        <w:t>The Company and Dr. Thye entered into an executive change in control and severance agreement, or the Thye Severance Agreement. For a summary of the material terms of the Thye Severance Agreement, see “—</w:t>
      </w:r>
      <w:r>
        <w:rPr>
          <w:rFonts w:ascii="Times New Roman" w:hAnsi="Times New Roman"/>
          <w:i/>
          <w:sz w:val="20"/>
        </w:rPr>
        <w:t>Potential Payments Upon Termination or Change of Control</w:t>
      </w:r>
      <w:r>
        <w:rPr>
          <w:rFonts w:ascii="Times New Roman" w:hAnsi="Times New Roman"/>
          <w:sz w:val="20"/>
        </w:rPr>
        <w:t xml:space="preserv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Charles Ryan, Ph.D.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we entered into an offer letter with Dr. Ryan, our current President. The offer letter has no specific term and provides for at-will employment. Dr. Ryan’s annual base salary was $500,000 for fiscal year 2025. Dr. Ryan is also eligible to earn a discretionary annual bonus based on achievement of specified performance goals. Dr. Ryan’s target bonus was 40% of his annual base salary for fiscal year 2025. In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 Ryan is eligible for a monthly cash stipend of $1,800 to assist in covering the cost of his health insurance premium or other medical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commencement of his employment with the Company, the Company granted Dr. Ryan an option to purchase 2,725 shares of the Company’s common stock (the “Ryan Option”) pursuant to the 2019 Plan, with an exercise price equal to the fair market value of the Company’s common stock on the grant date. 25% of the shares subject to the Ryan Option will vest one year after the date of the grant and the remaining shares will vest in equal monthly installments over the following three years thereafter, subject to Dr. Ryan’s continuous service with the Company through each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Dr. Ryan entered into an executive change in control and severance agreement or the Ryan Severance Agreement. The Ryan Severance Agreement provides for severance benefits upon a qualifying termination of employment, including modified severance benefits on a qualifying termination of employment in connection with a change in control. For a summary of the material terms of the Ryan Severance Agreement, see “—Potential Payments Upon Termination or Change of Control”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Brendan Hannah </w:t>
      </w:r>
    </w:p>
    <w:p>
      <w:pPr>
        <w:pStyle w:val="TextBody"/>
        <w:bidi w:val="0"/>
        <w:spacing w:before="120" w:after="0"/>
        <w:jc w:val="left"/>
        <w:rPr>
          <w:rFonts w:ascii="Times New Roman" w:hAnsi="Times New Roman"/>
          <w:sz w:val="20"/>
        </w:rPr>
      </w:pPr>
      <w:r>
        <w:rPr>
          <w:rFonts w:ascii="Times New Roman" w:hAnsi="Times New Roman"/>
          <w:sz w:val="20"/>
        </w:rPr>
        <w:t xml:space="preserve">In May 2022, we entered into an offer letter with Mr. Hannah, our current Chief Operating Officer and Chief Business Officer. The offer letter has no specific term and provides for at-will employment. Mr. Hannah’s annual base salary was $455,000 for fiscal year 2025. Mr. Hannah is also eligible to earn a discretionary annual bonus based on achievement of specified performance goals. Mr. Hannah’s target bonus was 40% of his annual base salary for fiscal year 2025. </w:t>
      </w:r>
    </w:p>
    <w:p>
      <w:pPr>
        <w:pStyle w:val="TextBody"/>
        <w:bidi w:val="0"/>
        <w:spacing w:before="240" w:after="0"/>
        <w:jc w:val="left"/>
        <w:rPr>
          <w:rFonts w:ascii="Times New Roman" w:hAnsi="Times New Roman"/>
          <w:sz w:val="20"/>
        </w:rPr>
      </w:pPr>
      <w:r>
        <w:rPr>
          <w:rFonts w:ascii="Times New Roman" w:hAnsi="Times New Roman"/>
          <w:sz w:val="20"/>
        </w:rPr>
        <w:t>In connection with the Acquisition, the Board approved a retention bonus of $500,000 for Mr. Hannah, which will be paid only if the respective officer continues to remain employed by the Company through the approval of the Company Stockholder Matters.</w:t>
      </w:r>
    </w:p>
    <w:p>
      <w:pPr>
        <w:pStyle w:val="TextBody"/>
        <w:bidi w:val="0"/>
        <w:spacing w:before="240" w:after="0"/>
        <w:jc w:val="left"/>
        <w:rPr>
          <w:rFonts w:ascii="Times New Roman" w:hAnsi="Times New Roman"/>
          <w:sz w:val="20"/>
        </w:rPr>
      </w:pPr>
      <w:r>
        <w:rPr>
          <w:rFonts w:ascii="Times New Roman" w:hAnsi="Times New Roman"/>
          <w:sz w:val="20"/>
        </w:rPr>
        <w:t>The Company and Mr. Hannah entered into an executive change in control and severance agreement, or the Hannah Severance Agreement. For a summary of the material terms of the Hannah Severance Agreement, see “—</w:t>
      </w:r>
      <w:r>
        <w:rPr>
          <w:rFonts w:ascii="Times New Roman" w:hAnsi="Times New Roman"/>
          <w:i/>
          <w:sz w:val="20"/>
        </w:rPr>
        <w:t>Potential Payments Upon Termination or Change of Control</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Welfare and Health Benefits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are eligible to participate in all of our benefit plans, such as the 401(k) plan (see description under “401(k) Plan” below), medical, dental, vision, short-term disability, long-term disability and group life insurance, in each case generally on the same basis as other employees. We do not currently have qualified or nonqualified defined benefit plans or nonqualified deferred compensation plans, nor do we offer pension or other retirement benefits other than our 401(k) plan. Our board of directors may elect to adopt such plans in the future if it determines that doing so is in our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Perquisites and Other Benefits </w:t>
      </w:r>
    </w:p>
    <w:p>
      <w:pPr>
        <w:pStyle w:val="TextBody"/>
        <w:bidi w:val="0"/>
        <w:spacing w:before="120" w:after="0"/>
        <w:jc w:val="left"/>
        <w:rPr>
          <w:rFonts w:ascii="Times New Roman" w:hAnsi="Times New Roman"/>
          <w:sz w:val="20"/>
        </w:rPr>
      </w:pPr>
      <w:r>
        <w:rPr>
          <w:rFonts w:ascii="Times New Roman" w:hAnsi="Times New Roman"/>
          <w:sz w:val="20"/>
        </w:rPr>
        <w:t xml:space="preserve">We generally do not offer perquisites or personal benefits to our NEOs, although we may from time to time provide reasonable relocation, signing bonuses, retention bonuses, or other benefits to our NEOs as our compensation committee determines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Code of 1986, as amended or the Code. The 401(k) plan is intended to be qualified under Section 401(a) of the Code with the 401(k) plan’s related trust intended to be tax exempt under Section 501(a) of the Code. </w:t>
      </w:r>
    </w:p>
    <w:p>
      <w:pPr>
        <w:pStyle w:val="TextBody"/>
        <w:bidi w:val="0"/>
        <w:spacing w:before="240" w:after="0"/>
        <w:jc w:val="left"/>
        <w:rPr>
          <w:rFonts w:ascii="Times New Roman" w:hAnsi="Times New Roman"/>
          <w:sz w:val="20"/>
        </w:rPr>
      </w:pPr>
      <w:r>
        <w:rPr>
          <w:rFonts w:ascii="Times New Roman" w:hAnsi="Times New Roman"/>
          <w:sz w:val="20"/>
        </w:rPr>
        <w:t xml:space="preserve">Historically, we have not made matching contributions into the 401(k) plan on behalf of participants. However, in 2021, we began matching 100% of employee contributions, up to an annual maximum of $4,000 per calendar year for each employee. All such employee contributions and Company matching contributions are immediately and fully vested. </w:t>
      </w:r>
    </w:p>
    <w:p>
      <w:pPr>
        <w:pStyle w:val="TextBody"/>
        <w:bidi w:val="0"/>
        <w:spacing w:before="360" w:after="0"/>
        <w:jc w:val="left"/>
        <w:rPr>
          <w:rFonts w:ascii="Times New Roman" w:hAnsi="Times New Roman"/>
          <w:b/>
          <w:sz w:val="20"/>
        </w:rPr>
      </w:pPr>
      <w:r>
        <w:rPr>
          <w:rFonts w:ascii="Times New Roman" w:hAnsi="Times New Roman"/>
          <w:b/>
          <w:sz w:val="20"/>
        </w:rPr>
        <w:t xml:space="preserve">Clawbacks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if we are required to restate our financial results due to our material noncompliance with any financial reporting requirements under the federal securities laws as a result of misconduct, the CEO and Chief Financial Officer may be legally required to reimburse our Company for any bonus or other incentive-based or equity-based compensation they receive in accordance with the provisions of section 304 of the Sarbanes-Oxley Act of 2002, as amended. Additionally, we have implemented a Dodd-Frank Act-compliant clawback policy, as required by SEC rules.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Severance Agreements or Executive Change in Control and Severance Agreements, or CiC Agreements, with Dr. Thye, Dr. Ryan, and Mr. Hannah, which provide for certain payments and benefits in connection with certain terminations of employment with the Company, including terminations that occur in connection with a change in control (as defined in the CiC Agreements), subject to the named executive officer’s execution and non-revocation of a general release of claims in a form prescribed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believes that the severance protection benefits we offer are necessary to provide stability among our executive officers, serve to focus our executive officers on our business operations, and avoid distractions in connection with a potential change in control transaction or period of uncertainty. </w:t>
      </w:r>
    </w:p>
    <w:p>
      <w:pPr>
        <w:pStyle w:val="TextBody"/>
        <w:bidi w:val="0"/>
        <w:spacing w:before="240" w:after="0"/>
        <w:jc w:val="left"/>
        <w:rPr>
          <w:rFonts w:ascii="Times New Roman" w:hAnsi="Times New Roman"/>
          <w:sz w:val="20"/>
        </w:rPr>
      </w:pPr>
      <w:r>
        <w:rPr>
          <w:rFonts w:ascii="Times New Roman" w:hAnsi="Times New Roman"/>
          <w:sz w:val="20"/>
        </w:rPr>
        <w:t xml:space="preserve">Under the CiC Agreements, if within the period beginning 3 months prior to, and ending 18 months following, a change in control of the Company, or the CiC Period, the Company terminates a named executive officer’s employment without “cause” or a named executive officer resigns for “good reason” (each as defined in the CiC Agreements), the named executive officer will be eligible to receive the following: (i) 18 months of base salary to be paid within thirty (30) days following the Release Deadline (as defined in the CiC Agreements); (ii) an amount equal to 150% of the named executive officer’s target annual bonus opportunity for the year in which the termination occurs, pro-rated to the effective date of termination, to be paid in a single lump-sum within thirty (30) days following the Release Deadline; (iii) full vesting acceleration of any then-outstanding unvested equity awards that are subject to time-based vesting and vesting at 100% of target levels of any then-outstanding unvested equity awards that are subject to performance-based vesting, as of the later of the named executive officer’s termination of employment of the change in control; and (iv) a cash payment equal to 18 months of COBRA premiums to be paid in a single lump-sum within thirty (30) days following the Release Deadline.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CiC Agreements provide that if the Company terminates a named executive officer’s employment without cause or a named executive officer resigns for “good reason” outside of the CiC Period, the named executive officer will be eligible to receive the following: (i) 12 months of base salary; (ii) an amount equal to 100% of the named executive officer’s target annual bonus opportunity for the year in which the termination occurs, pro-rated to the effective date of termination, to be paid in a single lump-sum within thirty (30) days following termination of employment; (iii) vesting acceleration of 50% of any then-outstanding unvested equity awards that are subject to time-based vesting and vesting at 50% of target levels of any then-outstanding unvested equity awards that are subject to performance-based vesting as of the named executive officer’s termination of employment; and (iv) a cash payment equal to 12 months of COBRA premiums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 in a single lump-sum within thirty (30) days following the Release Deadline. The base salary severance will be paid to named executive officer at named executive officer’s Base Salary Rate (as defined in the CiC Agreements) in accordance with the Company’s normal payroll practices on the Company’s regularly scheduled payroll dates commencing with the first regularly scheduled payroll date that occurs at least 8 days following termination of employment, with the first payment being equal to the number of business days between named executive officer’s last day of employment and the date of the first payment multiplied by named executive officer’s daily Base Salary Rate.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CiC Agreements, in the event of a change in control, if our successor does not agree to assume, substitute or otherwise continue any then outstanding stock options, the vesting of the unvested stock options shall accelerate in full (or, with respect to performance-based options, at 100% of target level), effective immediately prior to and contingent upon a change of control, unless our named executive officer resigns without good reason or is terminated for cause.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any of the payments or benefits provided to a named executive officer constitutes a parachute payment under Section 280G of the Code, the payments or benefits may be reduced so that no portion of the payment is subject to the excise tax imposed under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Section 953(a) of the Dodd-Frank Wall Street </w:t>
      </w:r>
    </w:p>
    <w:p>
      <w:pPr>
        <w:pStyle w:val="TextBody"/>
        <w:bidi w:val="0"/>
        <w:spacing w:before="120" w:after="0"/>
        <w:jc w:val="left"/>
        <w:rPr>
          <w:rFonts w:ascii="Times New Roman" w:hAnsi="Times New Roman"/>
          <w:sz w:val="20"/>
        </w:rPr>
      </w:pPr>
      <w:r>
        <w:rPr>
          <w:rFonts w:ascii="Times New Roman" w:hAnsi="Times New Roman"/>
          <w:sz w:val="20"/>
        </w:rPr>
        <w:t>Reform</w:t>
      </w:r>
    </w:p>
    <w:p>
      <w:pPr>
        <w:pStyle w:val="TextBody"/>
        <w:bidi w:val="0"/>
        <w:spacing w:before="120" w:after="0"/>
        <w:jc w:val="left"/>
        <w:rPr>
          <w:rFonts w:ascii="Times New Roman" w:hAnsi="Times New Roman"/>
          <w:sz w:val="20"/>
        </w:rPr>
      </w:pPr>
      <w:r>
        <w:rPr>
          <w:rFonts w:ascii="Times New Roman" w:hAnsi="Times New Roman"/>
          <w:sz w:val="20"/>
        </w:rPr>
        <w:t xml:space="preserve">and Consumer Protection Act, and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information about the relationship between executive compensation actually paid and certain financial performance of the Company. </w:t>
      </w:r>
    </w:p>
    <w:p>
      <w:pPr>
        <w:pStyle w:val="TextBody"/>
        <w:bidi w:val="0"/>
        <w:spacing w:before="0" w:after="0"/>
        <w:jc w:val="left"/>
        <w:rPr/>
      </w:pPr>
      <w:r>
        <w:rPr/>
        <w:t> </w:t>
      </w:r>
    </w:p>
    <w:tbl>
      <w:tblPr>
        <w:tblW w:w="7970" w:type="dxa"/>
        <w:jc w:val="left"/>
        <w:tblInd w:w="0" w:type="dxa"/>
        <w:tblLayout w:type="fixed"/>
        <w:tblCellMar>
          <w:top w:w="0" w:type="dxa"/>
          <w:left w:w="0" w:type="dxa"/>
          <w:bottom w:w="0" w:type="dxa"/>
          <w:right w:w="0" w:type="dxa"/>
        </w:tblCellMar>
      </w:tblPr>
      <w:tblGrid>
        <w:gridCol w:w="515"/>
        <w:gridCol w:w="60"/>
        <w:gridCol w:w="1130"/>
        <w:gridCol w:w="60"/>
        <w:gridCol w:w="1205"/>
        <w:gridCol w:w="60"/>
        <w:gridCol w:w="1385"/>
        <w:gridCol w:w="60"/>
        <w:gridCol w:w="1205"/>
        <w:gridCol w:w="60"/>
        <w:gridCol w:w="1280"/>
        <w:gridCol w:w="60"/>
        <w:gridCol w:w="89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Year</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(a)</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Summary</w:t>
              <w:br/>
              <w:t>Compensation</w:t>
              <w:br/>
              <w:t>Table Total for</w:t>
              <w:br/>
              <w:t>Dirk Thye</w:t>
            </w:r>
          </w:p>
          <w:p>
            <w:pPr>
              <w:pStyle w:val="TableContents"/>
              <w:bidi w:val="0"/>
              <w:spacing w:before="0" w:after="20"/>
              <w:jc w:val="center"/>
              <w:rPr>
                <w:rFonts w:ascii="Times New Roman" w:hAnsi="Times New Roman"/>
                <w:b/>
                <w:sz w:val="16"/>
              </w:rPr>
            </w:pPr>
            <w:r>
              <w:rPr>
                <w:rFonts w:ascii="Times New Roman" w:hAnsi="Times New Roman"/>
                <w:b/>
                <w:sz w:val="16"/>
              </w:rPr>
              <w:t>(b)</w:t>
            </w:r>
          </w:p>
          <w:p>
            <w:pPr>
              <w:pStyle w:val="TableContents"/>
              <w:bidi w:val="0"/>
              <w:spacing w:before="0" w:after="20"/>
              <w:jc w:val="center"/>
              <w:rPr>
                <w:rFonts w:ascii="Times New Roman" w:hAnsi="Times New Roman"/>
                <w:b/>
                <w:sz w:val="9"/>
              </w:rPr>
            </w:pPr>
            <w:r>
              <w:rPr>
                <w:rFonts w:ascii="Times New Roman" w:hAnsi="Times New Roman"/>
                <w:b/>
                <w:sz w:val="9"/>
              </w:rPr>
              <w:t>(1)</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br/>
              <w:t>Actually Paid to</w:t>
              <w:br/>
              <w:t>Dirk Thye</w:t>
            </w:r>
          </w:p>
          <w:p>
            <w:pPr>
              <w:pStyle w:val="TableContents"/>
              <w:bidi w:val="0"/>
              <w:spacing w:before="0" w:after="20"/>
              <w:jc w:val="center"/>
              <w:rPr>
                <w:rFonts w:ascii="Times New Roman" w:hAnsi="Times New Roman"/>
                <w:b/>
                <w:sz w:val="16"/>
              </w:rPr>
            </w:pPr>
            <w:r>
              <w:rPr>
                <w:rFonts w:ascii="Times New Roman" w:hAnsi="Times New Roman"/>
                <w:b/>
                <w:sz w:val="16"/>
              </w:rPr>
              <w:t>(c)</w:t>
            </w:r>
          </w:p>
          <w:p>
            <w:pPr>
              <w:pStyle w:val="TableContents"/>
              <w:bidi w:val="0"/>
              <w:spacing w:before="0" w:after="20"/>
              <w:jc w:val="center"/>
              <w:rPr>
                <w:rFonts w:ascii="Times New Roman" w:hAnsi="Times New Roman"/>
                <w:b/>
                <w:sz w:val="9"/>
              </w:rPr>
            </w:pPr>
            <w:r>
              <w:rPr>
                <w:rFonts w:ascii="Times New Roman" w:hAnsi="Times New Roman"/>
                <w:b/>
                <w:sz w:val="9"/>
              </w:rPr>
              <w:t>(2)</w:t>
            </w:r>
          </w:p>
        </w:tc>
        <w:tc>
          <w:tcPr>
            <w:tcW w:w="60" w:type="dxa"/>
            <w:tcBorders/>
            <w:vAlign w:val="center"/>
          </w:tcPr>
          <w:p>
            <w:pPr>
              <w:pStyle w:val="TableContents"/>
              <w:bidi w:val="0"/>
              <w:spacing w:before="0" w:after="283"/>
              <w:jc w:val="left"/>
              <w:rPr/>
            </w:pPr>
            <w:r>
              <w:rPr/>
              <w:t> </w:t>
            </w:r>
          </w:p>
        </w:tc>
        <w:tc>
          <w:tcPr>
            <w:tcW w:w="13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Summary</w:t>
              <w:br/>
              <w:t>Compensation</w:t>
              <w:br/>
              <w:t>Table Total</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for Non-CEO</w:t>
            </w:r>
          </w:p>
          <w:p>
            <w:pPr>
              <w:pStyle w:val="TableContents"/>
              <w:bidi w:val="0"/>
              <w:spacing w:before="0" w:after="0"/>
              <w:jc w:val="center"/>
              <w:rPr>
                <w:rFonts w:ascii="Times New Roman" w:hAnsi="Times New Roman"/>
                <w:b/>
                <w:sz w:val="16"/>
              </w:rPr>
            </w:pPr>
            <w:r>
              <w:rPr>
                <w:rFonts w:ascii="Times New Roman" w:hAnsi="Times New Roman"/>
                <w:b/>
                <w:sz w:val="16"/>
              </w:rPr>
              <w:br/>
              <w:t>NEOs</w:t>
            </w:r>
          </w:p>
          <w:p>
            <w:pPr>
              <w:pStyle w:val="TableContents"/>
              <w:bidi w:val="0"/>
              <w:spacing w:before="0" w:after="20"/>
              <w:jc w:val="center"/>
              <w:rPr>
                <w:rFonts w:ascii="Times New Roman" w:hAnsi="Times New Roman"/>
                <w:b/>
                <w:sz w:val="16"/>
              </w:rPr>
            </w:pPr>
            <w:r>
              <w:rPr>
                <w:rFonts w:ascii="Times New Roman" w:hAnsi="Times New Roman"/>
                <w:b/>
                <w:sz w:val="16"/>
              </w:rPr>
              <w:t>(d)</w:t>
            </w:r>
          </w:p>
          <w:p>
            <w:pPr>
              <w:pStyle w:val="TableContents"/>
              <w:bidi w:val="0"/>
              <w:spacing w:before="0" w:after="20"/>
              <w:jc w:val="center"/>
              <w:rPr>
                <w:rFonts w:ascii="Times New Roman" w:hAnsi="Times New Roman"/>
                <w:b/>
                <w:sz w:val="9"/>
              </w:rPr>
            </w:pPr>
            <w:r>
              <w:rPr>
                <w:rFonts w:ascii="Times New Roman" w:hAnsi="Times New Roman"/>
                <w:b/>
                <w:sz w:val="9"/>
              </w:rPr>
              <w:t>(3)</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w:t>
              <w:br/>
              <w:t>Compensation</w:t>
              <w:br/>
              <w:t>Actually Paid to</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Non-CEO NEOs</w:t>
            </w:r>
          </w:p>
          <w:p>
            <w:pPr>
              <w:pStyle w:val="TableContents"/>
              <w:bidi w:val="0"/>
              <w:spacing w:before="0" w:after="20"/>
              <w:jc w:val="center"/>
              <w:rPr>
                <w:rFonts w:ascii="Times New Roman" w:hAnsi="Times New Roman"/>
                <w:b/>
                <w:sz w:val="16"/>
              </w:rPr>
            </w:pPr>
            <w:r>
              <w:rPr>
                <w:rFonts w:ascii="Times New Roman" w:hAnsi="Times New Roman"/>
                <w:b/>
                <w:sz w:val="16"/>
              </w:rPr>
              <w:t>(e)</w:t>
            </w:r>
          </w:p>
          <w:p>
            <w:pPr>
              <w:pStyle w:val="TableContents"/>
              <w:bidi w:val="0"/>
              <w:spacing w:before="0" w:after="20"/>
              <w:jc w:val="center"/>
              <w:rPr>
                <w:rFonts w:ascii="Times New Roman" w:hAnsi="Times New Roman"/>
                <w:b/>
                <w:sz w:val="9"/>
              </w:rPr>
            </w:pPr>
            <w:r>
              <w:rPr>
                <w:rFonts w:ascii="Times New Roman" w:hAnsi="Times New Roman"/>
                <w:b/>
                <w:sz w:val="9"/>
              </w:rPr>
              <w:t>(4)</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Fixed $100</w:t>
              <w:br/>
              <w:t>Investment Based</w:t>
              <w:br/>
              <w:t>on Total</w:t>
              <w:br/>
              <w:t>Shareholder</w:t>
              <w:br/>
              <w:t>Return</w:t>
            </w:r>
          </w:p>
          <w:p>
            <w:pPr>
              <w:pStyle w:val="TableContents"/>
              <w:bidi w:val="0"/>
              <w:spacing w:before="0" w:after="20"/>
              <w:jc w:val="center"/>
              <w:rPr>
                <w:rFonts w:ascii="Times New Roman" w:hAnsi="Times New Roman"/>
                <w:b/>
                <w:sz w:val="16"/>
              </w:rPr>
            </w:pPr>
            <w:r>
              <w:rPr>
                <w:rFonts w:ascii="Times New Roman" w:hAnsi="Times New Roman"/>
                <w:b/>
                <w:sz w:val="16"/>
              </w:rPr>
              <w:t>(f)</w:t>
            </w:r>
          </w:p>
          <w:p>
            <w:pPr>
              <w:pStyle w:val="TableContents"/>
              <w:bidi w:val="0"/>
              <w:spacing w:before="0" w:after="20"/>
              <w:jc w:val="center"/>
              <w:rPr>
                <w:rFonts w:ascii="Times New Roman" w:hAnsi="Times New Roman"/>
                <w:b/>
                <w:sz w:val="9"/>
              </w:rPr>
            </w:pPr>
            <w:r>
              <w:rPr>
                <w:rFonts w:ascii="Times New Roman" w:hAnsi="Times New Roman"/>
                <w:b/>
                <w:sz w:val="9"/>
              </w:rPr>
              <w:t>(5)</w:t>
            </w:r>
          </w:p>
        </w:tc>
        <w:tc>
          <w:tcPr>
            <w:tcW w:w="60" w:type="dxa"/>
            <w:tcBorders/>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Net Income</w:t>
              <w:br/>
              <w:t>(Loss)</w:t>
            </w:r>
          </w:p>
          <w:p>
            <w:pPr>
              <w:pStyle w:val="TableContents"/>
              <w:bidi w:val="0"/>
              <w:spacing w:before="0" w:after="0"/>
              <w:jc w:val="center"/>
              <w:rPr>
                <w:rFonts w:ascii="Times New Roman" w:hAnsi="Times New Roman"/>
                <w:b/>
                <w:sz w:val="16"/>
              </w:rPr>
            </w:pPr>
            <w:r>
              <w:rPr>
                <w:rFonts w:ascii="Times New Roman" w:hAnsi="Times New Roman"/>
                <w:b/>
                <w:sz w:val="16"/>
              </w:rPr>
              <w:t>(in millions)</w:t>
            </w:r>
          </w:p>
          <w:p>
            <w:pPr>
              <w:pStyle w:val="TableContents"/>
              <w:bidi w:val="0"/>
              <w:spacing w:before="0" w:after="20"/>
              <w:jc w:val="center"/>
              <w:rPr>
                <w:rFonts w:ascii="Times New Roman" w:hAnsi="Times New Roman"/>
                <w:b/>
                <w:sz w:val="16"/>
              </w:rPr>
            </w:pPr>
            <w:r>
              <w:rPr>
                <w:rFonts w:ascii="Times New Roman" w:hAnsi="Times New Roman"/>
                <w:b/>
                <w:sz w:val="16"/>
              </w:rPr>
              <w:t>(h)</w:t>
            </w:r>
          </w:p>
          <w:p>
            <w:pPr>
              <w:pStyle w:val="TableContents"/>
              <w:bidi w:val="0"/>
              <w:spacing w:before="0" w:after="20"/>
              <w:jc w:val="center"/>
              <w:rPr>
                <w:rFonts w:ascii="Times New Roman" w:hAnsi="Times New Roman"/>
                <w:b/>
                <w:sz w:val="9"/>
              </w:rPr>
            </w:pPr>
            <w:r>
              <w:rPr>
                <w:rFonts w:ascii="Times New Roman" w:hAnsi="Times New Roman"/>
                <w:b/>
                <w:sz w:val="9"/>
              </w:rPr>
              <w:t>(6)</w:t>
            </w:r>
          </w:p>
        </w:tc>
      </w:tr>
      <w:tr>
        <w:trPr/>
        <w:tc>
          <w:tcPr>
            <w:tcW w:w="515" w:type="dxa"/>
            <w:tcBorders/>
            <w:vAlign w:val="center"/>
          </w:tcPr>
          <w:p>
            <w:pPr>
              <w:pStyle w:val="TableContents"/>
              <w:bidi w:val="0"/>
              <w:spacing w:before="0" w:after="283"/>
              <w:jc w:val="left"/>
              <w:rPr/>
            </w:pPr>
            <w:r>
              <w:rPr/>
              <w:t>2025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$2,411,125</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$3,944,367</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$1,169,613</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$1,727,759</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$525.57</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$(83.98)</w:t>
            </w:r>
          </w:p>
        </w:tc>
      </w:tr>
      <w:tr>
        <w:trPr/>
        <w:tc>
          <w:tcPr>
            <w:tcW w:w="515" w:type="dxa"/>
            <w:tcBorders/>
            <w:vAlign w:val="center"/>
          </w:tcPr>
          <w:p>
            <w:pPr>
              <w:pStyle w:val="TableContents"/>
              <w:bidi w:val="0"/>
              <w:spacing w:before="0" w:after="283"/>
              <w:jc w:val="left"/>
              <w:rPr/>
            </w:pPr>
            <w:r>
              <w:rPr/>
              <w:t>2024</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$2,732,125</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$3,365,648</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$1,129,463</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$1,289,891</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$293.38</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$(56.83)</w:t>
            </w:r>
          </w:p>
        </w:tc>
      </w:tr>
      <w:tr>
        <w:trPr/>
        <w:tc>
          <w:tcPr>
            <w:tcW w:w="515" w:type="dxa"/>
            <w:tcBorders/>
            <w:vAlign w:val="center"/>
          </w:tcPr>
          <w:p>
            <w:pPr>
              <w:pStyle w:val="TableContents"/>
              <w:bidi w:val="0"/>
              <w:spacing w:before="0" w:after="283"/>
              <w:jc w:val="left"/>
              <w:rPr/>
            </w:pPr>
            <w:r>
              <w:rPr/>
              <w:t>2023</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$1,330,500</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$2,491,503</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$1,004,325</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$948,782</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$164.73</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$(31.39)</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dollar amounts reported in column (b) are the amounts of total compensation reported for Dr. Thye (who served as Chief Executive Officer during each of fiscal years 2025, 2024, and 2023) for each corresponding year in the “Total” column of the Summary Compensation Table. Dr. Thye is referred to herein as a “PEO.” Refer to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Executive Compensation Tables—Summary Compensation Table</w:t>
            </w:r>
          </w:p>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(c) represent the amount of “compensation actually paid” to each PEO, respectively,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amount of compensation earned by or paid to each PEO in the applicable year. In accordance with the requirements of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following adjustments were made to PEO’s respective total compensation to determine the compensation actually paid in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20"/>
        <w:gridCol w:w="120"/>
        <w:gridCol w:w="140"/>
        <w:gridCol w:w="1055"/>
        <w:gridCol w:w="170"/>
      </w:tblGrid>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72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9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p>
            <w:pPr>
              <w:pStyle w:val="TableContents"/>
              <w:bidi w:val="0"/>
              <w:spacing w:before="0" w:after="0"/>
              <w:jc w:val="center"/>
              <w:rPr/>
            </w:pPr>
            <w:r>
              <w:rPr/>
            </w:r>
          </w:p>
          <w:p>
            <w:pPr>
              <w:pStyle w:val="TableContents"/>
              <w:bidi w:val="0"/>
              <w:spacing w:before="0" w:after="0"/>
              <w:jc w:val="center"/>
              <w:rPr>
                <w:b/>
                <w:spacing w:val="0"/>
              </w:rPr>
            </w:pPr>
            <w:r>
              <w:rPr>
                <w:b/>
                <w:spacing w:val="0"/>
              </w:rPr>
              <w:t>Thye</w:t>
            </w:r>
          </w:p>
        </w:tc>
        <w:tc>
          <w:tcPr>
            <w:tcW w:w="170" w:type="dxa"/>
            <w:vMerge w:val="restart"/>
            <w:tcBorders/>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b/>
                <w:spacing w:val="0"/>
              </w:rPr>
            </w:pPr>
            <w:r>
              <w:rPr>
                <w:b/>
                <w:spacing w:val="0"/>
              </w:rPr>
              <w:t>Adjustments to Determine Compensation Actually Paid for PEO</w:t>
            </w:r>
          </w:p>
        </w:tc>
        <w:tc>
          <w:tcPr>
            <w:tcW w:w="120" w:type="dxa"/>
            <w:vMerge w:val="continue"/>
            <w:tcBorders/>
            <w:vAlign w:val="center"/>
          </w:tcPr>
          <w:p>
            <w:pPr>
              <w:pStyle w:val="Normal"/>
              <w:bidi w:val="0"/>
              <w:jc w:val="left"/>
              <w:rPr/>
            </w:pPr>
            <w:r>
              <w:rPr/>
            </w:r>
          </w:p>
        </w:tc>
        <w:tc>
          <w:tcPr>
            <w:tcW w:w="119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8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Summary Compensation Table Total</w:t>
            </w:r>
          </w:p>
          <w:p>
            <w:pPr>
              <w:pStyle w:val="TableContents"/>
              <w:bidi w:val="0"/>
              <w:spacing w:before="0" w:after="0"/>
              <w:jc w:val="left"/>
              <w:rPr>
                <w:rFonts w:ascii="Times New Roman" w:hAnsi="Times New Roman"/>
                <w:b/>
                <w:sz w:val="12"/>
              </w:rPr>
            </w:pPr>
            <w:r>
              <w:rPr>
                <w:rFonts w:ascii="Times New Roman" w:hAnsi="Times New Roman"/>
                <w:b/>
                <w:sz w:val="12"/>
              </w:rPr>
              <w:t>(a)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2,411,125</w:t>
            </w:r>
          </w:p>
        </w:tc>
        <w:tc>
          <w:tcPr>
            <w:tcW w:w="170"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Subtract: Adjustment for Grant Date Fair Value of Equity Awards Granted in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(1,644,000</w:t>
            </w:r>
          </w:p>
        </w:tc>
        <w:tc>
          <w:tcPr>
            <w:tcW w:w="170"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 Fair Value at Fiscal Year End of Outstanding and Unvested Equity Awards Granted in the Fiscal Year</w:t>
            </w:r>
          </w:p>
          <w:p>
            <w:pPr>
              <w:pStyle w:val="TableContents"/>
              <w:bidi w:val="0"/>
              <w:spacing w:before="0" w:after="0"/>
              <w:jc w:val="left"/>
              <w:rPr>
                <w:rFonts w:ascii="Times New Roman" w:hAnsi="Times New Roman"/>
                <w:sz w:val="12"/>
              </w:rPr>
            </w:pPr>
            <w:r>
              <w:rPr>
                <w:rFonts w:ascii="Times New Roman" w:hAnsi="Times New Roman"/>
                <w:sz w:val="12"/>
              </w:rPr>
              <w:t>(b)</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2,094,017</w:t>
            </w:r>
          </w:p>
        </w:tc>
        <w:tc>
          <w:tcPr>
            <w:tcW w:w="170"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Add/Subtract: Change in Fair Value of Outstanding and Unvested Equity Awards Granted in Prior Fiscal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990,280</w:t>
            </w:r>
          </w:p>
        </w:tc>
        <w:tc>
          <w:tcPr>
            <w:tcW w:w="170"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 Fair Value at Vesting of Equity Awards Granted and Vested in the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359,956</w:t>
            </w:r>
          </w:p>
        </w:tc>
        <w:tc>
          <w:tcPr>
            <w:tcW w:w="170"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Add/Subtract: Change in Fair Value as of the Vesting Date of Equity Awards Granted in Prior Fiscal Years that Vested in the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(267,011</w:t>
            </w:r>
          </w:p>
        </w:tc>
        <w:tc>
          <w:tcPr>
            <w:tcW w:w="170"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Subtract: Fair Value as of the Prior Fiscal Year End of Equity Awards Granted in Prior Fiscal Years that Failed to Meet Vesting Conditions in the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 Value of Dividends or Other Earnings Paid on Equity Awards Not Otherwise Reflected in Total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Actually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3,944,367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not reported any amounts in our Summary Compensation Table for a change in pension value and, accordingly, the adjustments with respect to such items prescribed by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pay-versus-performance</w:t>
            </w:r>
          </w:p>
          <w:p>
            <w:pPr>
              <w:pStyle w:val="TableContents"/>
              <w:bidi w:val="0"/>
              <w:spacing w:before="0" w:after="0"/>
              <w:jc w:val="left"/>
              <w:rPr>
                <w:rFonts w:ascii="Times New Roman" w:hAnsi="Times New Roman"/>
                <w:sz w:val="20"/>
              </w:rPr>
            </w:pPr>
            <w:r>
              <w:rPr>
                <w:rFonts w:ascii="Times New Roman" w:hAnsi="Times New Roman"/>
                <w:sz w:val="20"/>
              </w:rPr>
              <w:t xml:space="preserve">rules are not relevant to our analysis and no adjustments have been made. </w:t>
            </w:r>
          </w:p>
        </w:tc>
      </w:tr>
    </w:tbl>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(b)</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“Option Awards” column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(d) represent the average of the amounts reported for the Company’s NEOs as a group (excluding the PEOs for each applicable year) (the </w:t>
            </w:r>
          </w:p>
          <w:p>
            <w:pPr>
              <w:pStyle w:val="TableContents"/>
              <w:bidi w:val="0"/>
              <w:spacing w:before="0" w:after="0"/>
              <w:jc w:val="left"/>
              <w:rPr>
                <w:spacing w:val="0"/>
              </w:rPr>
            </w:pPr>
            <w:r>
              <w:rPr>
                <w:spacing w:val="0"/>
              </w:rPr>
              <w:t>“</w:t>
            </w: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in the “Total” column of the Summary Compensation Table in each applicable year. The names of each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included for purposes of calculating the average amounts in each applicable year are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2025 and 2024: Charles Ryan, Ph.D. and Brendan Hannah; and </w:t>
      </w:r>
    </w:p>
    <w:p>
      <w:pPr>
        <w:pStyle w:val="TextBody"/>
        <w:bidi w:val="0"/>
        <w:spacing w:before="120" w:after="0"/>
        <w:jc w:val="left"/>
        <w:rPr>
          <w:rFonts w:ascii="Times New Roman" w:hAnsi="Times New Roman"/>
          <w:sz w:val="20"/>
        </w:rPr>
      </w:pPr>
      <w:r>
        <w:rPr>
          <w:rFonts w:ascii="Times New Roman" w:hAnsi="Times New Roman"/>
          <w:sz w:val="20"/>
        </w:rPr>
        <w:t xml:space="preserve">2023: Charles Ryan, Ph.D., Brendan Hannah, and Karen Smith, M.D., Ph.D.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120" w:type="dxa"/>
        <w:jc w:val="left"/>
        <w:tblInd w:w="0" w:type="dxa"/>
        <w:tblLayout w:type="fixed"/>
        <w:tblCellMar>
          <w:top w:w="0" w:type="dxa"/>
          <w:left w:w="0" w:type="dxa"/>
          <w:bottom w:w="0" w:type="dxa"/>
          <w:right w:w="0" w:type="dxa"/>
        </w:tblCellMar>
      </w:tblPr>
      <w:tblGrid>
        <w:gridCol w:w="305"/>
        <w:gridCol w:w="9815"/>
      </w:tblGrid>
      <w:tr>
        <w:trPr/>
        <w:tc>
          <w:tcPr>
            <w:tcW w:w="305" w:type="dxa"/>
            <w:tcBorders/>
            <w:vAlign w:val="center"/>
          </w:tcPr>
          <w:p>
            <w:pPr>
              <w:pStyle w:val="TableContents"/>
              <w:bidi w:val="0"/>
              <w:spacing w:before="0" w:after="283"/>
              <w:jc w:val="left"/>
              <w:rPr/>
            </w:pPr>
            <w:r>
              <w:rPr/>
              <w:t>(4)</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(e) represent the average amount of “compensation actually paid” to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as a group ,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average amount of compensation earned by or paid to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as a group during the applicable year. The following adjustments were made to average total compensation for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as a group for each year to determine the compensation actually paid in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55"/>
        <w:gridCol w:w="60"/>
        <w:gridCol w:w="140"/>
        <w:gridCol w:w="980"/>
        <w:gridCol w:w="170"/>
      </w:tblGrid>
      <w:tr>
        <w:trPr/>
        <w:tc>
          <w:tcPr>
            <w:tcW w:w="8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855" w:type="dxa"/>
            <w:tcBorders/>
            <w:vAlign w:val="center"/>
          </w:tcPr>
          <w:p>
            <w:pPr>
              <w:pStyle w:val="TableContents"/>
              <w:bidi w:val="0"/>
              <w:spacing w:before="0" w:after="0"/>
              <w:jc w:val="left"/>
              <w:rPr>
                <w:b/>
                <w:spacing w:val="0"/>
              </w:rPr>
            </w:pPr>
            <w:r>
              <w:rPr>
                <w:b/>
                <w:spacing w:val="0"/>
              </w:rPr>
              <w:t xml:space="preserve">Adjustments to Determine Average Compensation Actually Paid for </w:t>
            </w:r>
          </w:p>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t>NEOs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Reported in Summary Compensation Table(a)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1,169,613</w:t>
            </w:r>
          </w:p>
        </w:tc>
        <w:tc>
          <w:tcPr>
            <w:tcW w:w="170" w:type="dxa"/>
            <w:tcBorders/>
            <w:shd w:fill="CCEEFF" w:val="clear"/>
            <w:vAlign w:val="center"/>
          </w:tcPr>
          <w:p>
            <w:pPr>
              <w:pStyle w:val="TableContents"/>
              <w:bidi w:val="0"/>
              <w:spacing w:before="0" w:after="283"/>
              <w:jc w:val="left"/>
              <w:rPr/>
            </w:pPr>
            <w:r>
              <w:rPr/>
              <w:t> </w:t>
            </w:r>
          </w:p>
        </w:tc>
      </w:tr>
      <w:tr>
        <w:trPr/>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Subtract: Adjustment for Grant Date Fair Value of Equity Awards Granted in Fiscal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(513,750</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 Fair Value at Fiscal Year End of Outstanding and Unvested Equity Awards Granted in the Fiscal Year(b)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654,382</w:t>
            </w:r>
          </w:p>
        </w:tc>
        <w:tc>
          <w:tcPr>
            <w:tcW w:w="170" w:type="dxa"/>
            <w:tcBorders/>
            <w:shd w:fill="CCEEFF" w:val="clear"/>
            <w:vAlign w:val="center"/>
          </w:tcPr>
          <w:p>
            <w:pPr>
              <w:pStyle w:val="TableContents"/>
              <w:bidi w:val="0"/>
              <w:spacing w:before="0" w:after="283"/>
              <w:jc w:val="left"/>
              <w:rPr/>
            </w:pPr>
            <w:r>
              <w:rPr/>
              <w:t> </w:t>
            </w:r>
          </w:p>
        </w:tc>
      </w:tr>
      <w:tr>
        <w:trPr/>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Add/Subtract: Change in Fair Value of Outstanding and Unvested Equity Awards Granted in Prior Fiscal Years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362,051</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 Fair Value at Vesting of Equity Awards Granted and Vested in the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112,485</w:t>
            </w:r>
          </w:p>
        </w:tc>
        <w:tc>
          <w:tcPr>
            <w:tcW w:w="170" w:type="dxa"/>
            <w:tcBorders/>
            <w:shd w:fill="CCEEFF" w:val="clear"/>
            <w:vAlign w:val="center"/>
          </w:tcPr>
          <w:p>
            <w:pPr>
              <w:pStyle w:val="TableContents"/>
              <w:bidi w:val="0"/>
              <w:spacing w:before="0" w:after="283"/>
              <w:jc w:val="left"/>
              <w:rPr/>
            </w:pPr>
            <w:r>
              <w:rPr/>
              <w:t> </w:t>
            </w:r>
          </w:p>
        </w:tc>
      </w:tr>
      <w:tr>
        <w:trPr/>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Add/Subtract: Change in Fair Value as of the Vesting Date of Equity Awards Granted in Prior Fiscal Years that Vested in the Fiscal Year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(57,022</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Subtract: Fair Value as of the Prior Fiscal Year End of Equity Awards Granted in Prior Fiscal Years that Failed to Meet Vesting Conditions in the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 Value of Dividends or Other Earnings Paid on Equity Awards Not Otherwise Reflected in Total Compensation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Actually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1,727,759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not reported any amounts in our Summary Compensation Table for a change in pension value and, accordingly, the adjustments with respect to such items prescribed by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pay-versus-performance</w:t>
            </w:r>
          </w:p>
          <w:p>
            <w:pPr>
              <w:pStyle w:val="TableContents"/>
              <w:bidi w:val="0"/>
              <w:spacing w:before="0" w:after="0"/>
              <w:jc w:val="left"/>
              <w:rPr>
                <w:rFonts w:ascii="Times New Roman" w:hAnsi="Times New Roman"/>
                <w:sz w:val="20"/>
              </w:rPr>
            </w:pPr>
            <w:r>
              <w:rPr>
                <w:rFonts w:ascii="Times New Roman" w:hAnsi="Times New Roman"/>
                <w:sz w:val="20"/>
              </w:rPr>
              <w:t xml:space="preserve">rules are not relevant to our analysis and no adjustments have been made. </w:t>
            </w:r>
          </w:p>
        </w:tc>
      </w:tr>
    </w:tbl>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(b)</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“Option Awards” column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(5)</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Cumulative total shareholder return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(6)</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represent the amount of net income (loss) reflected in the Company’s audited financial statements for the applicable year.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Analysis of the Information Presented in the Pay versus Performance Table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descriptions of the relationships between information presented in the Pay Versus Performance table above.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Actually Paid and Cumulative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sets forth the relationship between Compensation Actually Paid to our PEOs,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the Company’s cumulative TSR over the three most recently completed fiscal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Actually Paid and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sets forth the relationship between Compensation Actually Paid to our PEO,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the Company’s net income (loss) over the three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65420" cy="309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65420" cy="30924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65420" cy="3108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65420" cy="3108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Policies and Practices Related to the Grant of Certain Equity Awards Close in Time to the Release of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grants stock options to its employees, including the named executive officers. Historically, for executive officers, the Company has granted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new-hire</w:t>
      </w:r>
    </w:p>
    <w:p>
      <w:pPr>
        <w:pStyle w:val="TextBody"/>
        <w:bidi w:val="0"/>
        <w:spacing w:before="120" w:after="0"/>
        <w:jc w:val="left"/>
        <w:rPr>
          <w:rFonts w:ascii="Times New Roman" w:hAnsi="Times New Roman"/>
          <w:sz w:val="20"/>
        </w:rPr>
      </w:pPr>
      <w:r>
        <w:rPr>
          <w:rFonts w:ascii="Times New Roman" w:hAnsi="Times New Roman"/>
          <w:sz w:val="20"/>
        </w:rPr>
        <w:t xml:space="preserve">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The Company also maintains an equity grant delegation policy (the “Equity Grant Policy”) pursuant to which the compensation committee has delegated to Dr. Thye, our Chief Executive Officer, and Mr. Hannah, our Chief Operating Officer and Chief Business Officer, the authority to grant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new-hire</w:t>
      </w:r>
    </w:p>
    <w:p>
      <w:pPr>
        <w:pStyle w:val="TextBody"/>
        <w:bidi w:val="0"/>
        <w:spacing w:before="120" w:after="0"/>
        <w:jc w:val="left"/>
        <w:rPr>
          <w:rFonts w:ascii="Times New Roman" w:hAnsi="Times New Roman"/>
          <w:sz w:val="20"/>
        </w:rPr>
      </w:pPr>
      <w:r>
        <w:rPr>
          <w:rFonts w:ascii="Times New Roman" w:hAnsi="Times New Roman"/>
          <w:sz w:val="20"/>
        </w:rPr>
        <w:t xml:space="preserve">option awards, within the guidelines and limits set forth in the Equity Grant Policy. 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new-hire</w:t>
      </w:r>
    </w:p>
    <w:p>
      <w:pPr>
        <w:pStyle w:val="TextBody"/>
        <w:bidi w:val="0"/>
        <w:spacing w:before="120" w:after="0"/>
        <w:jc w:val="left"/>
        <w:rPr>
          <w:rFonts w:ascii="Times New Roman" w:hAnsi="Times New Roman"/>
          <w:sz w:val="20"/>
        </w:rPr>
      </w:pPr>
      <w:r>
        <w:rPr>
          <w:rFonts w:ascii="Times New Roman" w:hAnsi="Times New Roman"/>
          <w:sz w:val="20"/>
        </w:rPr>
        <w:t xml:space="preserve">option awards to be granted pursuant to the Equity Grant Policy are made on the second Tuesday of each month of the calendar year. Also,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directors receive automatic grants of initial and annual stock option awards, at the time of a director’s initial appointment or election to the board and at the close of business on the date of each annual meeting of the Company’s stockholders, respectively, pursuant to the Outside Director Compensation Policy, as further described under the heading,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Director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Compensation—Non-Employee</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Director Compensation Arrangements</w:t>
      </w:r>
    </w:p>
    <w:p>
      <w:pPr>
        <w:pStyle w:val="TextBody"/>
        <w:bidi w:val="0"/>
        <w:spacing w:before="120" w:after="0"/>
        <w:jc w:val="left"/>
        <w:rPr/>
      </w:pPr>
      <w:r>
        <w:rPr/>
        <w:t xml:space="preserve">” </w:t>
      </w:r>
      <w:r>
        <w:rPr>
          <w:rFonts w:ascii="Times New Roman" w:hAnsi="Times New Roman"/>
          <w:sz w:val="20"/>
        </w:rPr>
        <w:t xml:space="preserve">below. The compensation committee considers whether there is any material nonpublic information (“MNPI”) about the Company when determining the timing of stock option grants and does not seek to time the award of stock options in relation to the Company’s public disclosure of MNPI. Option grants made pursuant to the Equity Grant Policy and the Outside Director Compensation Policy are awarded regardless of whether there is any MNPI about the Company on the regular, predetermined grant dates thereunder, and such grant dates are not specifically timed in relation to the Company’s disclosure of MNPI. The Company has not timed the release of MNPI for the purpose of affecting the value of executive compensation.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46981_15"/>
      <w:bookmarkEnd w:id="17"/>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All of the information contained in the sections below generally relates to our director compensation for fiscal year 2025 and was included in the Annual Proxy Statement. Since the date of the Annual Proxy Statement, (i) Dr. Roberts was appointed to our Board and (ii) we implemented the Reverse Stock Split effective on June 29, 2026. Except as set forth below or the context otherwise requires, the below share amounts and exercise prices give retroactive effect to the Reverse Stock Split. Because Dr. Roberts serves as our Chief Corporate Affairs Officer, she will not receive any additional compensation for her service on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Table </w:t>
      </w:r>
    </w:p>
    <w:p>
      <w:pPr>
        <w:pStyle w:val="TextBody"/>
        <w:bidi w:val="0"/>
        <w:spacing w:before="120" w:after="0"/>
        <w:jc w:val="left"/>
        <w:rPr>
          <w:rFonts w:ascii="Times New Roman" w:hAnsi="Times New Roman"/>
          <w:sz w:val="20"/>
        </w:rPr>
      </w:pPr>
      <w:r>
        <w:rPr>
          <w:rFonts w:ascii="Times New Roman" w:hAnsi="Times New Roman"/>
          <w:sz w:val="20"/>
        </w:rPr>
        <w:t>The following table provides information concerning compensation awarded to, earned by and paid to each person who served as a non-employee member of our board of directors during the fiscal year ended December 31, 2025. Dr. Thye is not included in the table below, as he was employed in 2025 as our Chief Executive Officer and Chief Medical Officer, and received no additional compensation for his service as director. The compensation received by Dr. Thye is shown in “</w:t>
      </w:r>
      <w:r>
        <w:rPr>
          <w:rFonts w:ascii="Times New Roman" w:hAnsi="Times New Roman"/>
          <w:i/>
          <w:sz w:val="20"/>
        </w:rPr>
        <w:t>Executive Compensation—Summary Compensation Table</w:t>
      </w:r>
      <w:r>
        <w:rPr>
          <w:rFonts w:ascii="Times New Roman" w:hAnsi="Times New Roman"/>
          <w:sz w:val="20"/>
        </w:rPr>
        <w:t xml:space="preserve">” above. </w:t>
      </w:r>
    </w:p>
    <w:p>
      <w:pPr>
        <w:pStyle w:val="TextBody"/>
        <w:bidi w:val="0"/>
        <w:spacing w:before="0" w:after="0"/>
        <w:jc w:val="left"/>
        <w:rPr/>
      </w:pPr>
      <w:r>
        <w:rPr/>
        <w:t> </w:t>
      </w:r>
    </w:p>
    <w:tbl>
      <w:tblPr>
        <w:tblW w:w="7459" w:type="dxa"/>
        <w:jc w:val="left"/>
        <w:tblInd w:w="0" w:type="dxa"/>
        <w:tblLayout w:type="fixed"/>
        <w:tblCellMar>
          <w:top w:w="0" w:type="dxa"/>
          <w:left w:w="0" w:type="dxa"/>
          <w:bottom w:w="0" w:type="dxa"/>
          <w:right w:w="0" w:type="dxa"/>
        </w:tblCellMar>
      </w:tblPr>
      <w:tblGrid>
        <w:gridCol w:w="2600"/>
        <w:gridCol w:w="120"/>
        <w:gridCol w:w="134"/>
        <w:gridCol w:w="1521"/>
        <w:gridCol w:w="60"/>
        <w:gridCol w:w="120"/>
        <w:gridCol w:w="142"/>
        <w:gridCol w:w="1617"/>
        <w:gridCol w:w="60"/>
        <w:gridCol w:w="120"/>
        <w:gridCol w:w="72"/>
        <w:gridCol w:w="818"/>
        <w:gridCol w:w="75"/>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pPr>
            <w:r>
              <w:rPr>
                <w:b/>
              </w:rPr>
              <w:t>Fees Earned or</w:t>
            </w:r>
            <w:r>
              <w:rPr/>
              <w:br/>
            </w:r>
            <w:r>
              <w:rPr>
                <w:b/>
              </w:rPr>
              <w:t>Paid in 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pPr>
            <w:r>
              <w:rPr>
                <w:b/>
              </w:rPr>
              <w:t>Stock Option</w:t>
            </w:r>
            <w:r>
              <w:rPr/>
              <w:br/>
            </w:r>
            <w:r>
              <w:rPr>
                <w:b/>
              </w:rPr>
              <w:t>Awards ($)(1)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A. Lamond</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7" w:type="dxa"/>
            <w:tcBorders/>
            <w:shd w:fill="CCEEFF" w:val="clear"/>
            <w:vAlign w:val="center"/>
          </w:tcPr>
          <w:p>
            <w:pPr>
              <w:pStyle w:val="TableContents"/>
              <w:bidi w:val="0"/>
              <w:spacing w:before="0" w:after="283"/>
              <w:jc w:val="right"/>
              <w:rPr/>
            </w:pPr>
            <w:r>
              <w:rPr/>
              <w:t>98,060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98,060</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J. Senner</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right"/>
              <w:rPr/>
            </w:pPr>
            <w:r>
              <w:rPr/>
              <w:t>78,975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78,975</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Bray(3)</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7" w:type="dxa"/>
            <w:tcBorders/>
            <w:shd w:fill="CCEEFF" w:val="clear"/>
            <w:vAlign w:val="center"/>
          </w:tcPr>
          <w:p>
            <w:pPr>
              <w:pStyle w:val="TableContents"/>
              <w:bidi w:val="0"/>
              <w:spacing w:before="0" w:after="283"/>
              <w:jc w:val="right"/>
              <w:rPr/>
            </w:pPr>
            <w:r>
              <w:rPr/>
              <w:t>71,237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71,237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Margaret McLoughlin, Ph.D.(4)</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right"/>
              <w:rPr/>
            </w:pPr>
            <w:r>
              <w:rPr/>
              <w:t>73,300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73,300</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 Ryan, OBE, Ph.D.(4)</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64,000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7" w:type="dxa"/>
            <w:tcBorders/>
            <w:shd w:fill="CCEEFF" w:val="clear"/>
            <w:vAlign w:val="center"/>
          </w:tcPr>
          <w:p>
            <w:pPr>
              <w:pStyle w:val="TableContents"/>
              <w:bidi w:val="0"/>
              <w:spacing w:before="0" w:after="283"/>
              <w:jc w:val="right"/>
              <w:rPr/>
            </w:pPr>
            <w:r>
              <w:rPr/>
              <w:t>24,300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88,300</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Luca Benatti, Ph.D.(4)</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38,000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right"/>
              <w:rPr/>
            </w:pPr>
            <w:r>
              <w:rPr/>
              <w:t>24,300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62,300</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Rajiv Patni, M.D.(4)</w:t>
            </w:r>
          </w:p>
        </w:tc>
        <w:tc>
          <w:tcPr>
            <w:tcW w:w="12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43,500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17" w:type="dxa"/>
            <w:tcBorders/>
            <w:shd w:fill="CCEEFF" w:val="clear"/>
            <w:vAlign w:val="center"/>
          </w:tcPr>
          <w:p>
            <w:pPr>
              <w:pStyle w:val="TableContents"/>
              <w:bidi w:val="0"/>
              <w:spacing w:before="0" w:after="283"/>
              <w:jc w:val="right"/>
              <w:rPr/>
            </w:pPr>
            <w:r>
              <w:rPr/>
              <w:t>24,300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67,800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the aggregate grant date fair value for financial statement reporting purposes of stock options granted in 2025 as determined in accordance with FASB ASC Topic 718. These amounts reflect our accounting expense for these stock options and do not represent the actual economic value that may be realized by each non-employee director. There can be no assurance that these amounts will ever be realized. For information on the assumptions used in valuing these awards, refer to Note 9 to the historical financial statements included in our Annual Report on Form 10-K for the fiscal year ended December 31, 2025. As required by the SEC rules, the amounts shown exclude the impact of estimated forfeitures related to service-based vesting conditions. As permitted under our Outside Director Compensation Policy, certain of our directors elected to receive all or a portion of their fees for 2025 in the form of stock options, rather than cash. </w:t>
            </w:r>
          </w:p>
        </w:tc>
      </w:tr>
    </w:tbl>
    <w:tbl>
      <w:tblPr>
        <w:tblW w:w="9325" w:type="dxa"/>
        <w:jc w:val="left"/>
        <w:tblInd w:w="0" w:type="dxa"/>
        <w:tblLayout w:type="fixed"/>
        <w:tblCellMar>
          <w:top w:w="0" w:type="dxa"/>
          <w:left w:w="0" w:type="dxa"/>
          <w:bottom w:w="0" w:type="dxa"/>
          <w:right w:w="0" w:type="dxa"/>
        </w:tblCellMar>
      </w:tblPr>
      <w:tblGrid>
        <w:gridCol w:w="305"/>
        <w:gridCol w:w="9020"/>
      </w:tblGrid>
      <w:tr>
        <w:trPr/>
        <w:tc>
          <w:tcPr>
            <w:tcW w:w="305" w:type="dxa"/>
            <w:tcBorders/>
            <w:vAlign w:val="center"/>
          </w:tcPr>
          <w:p>
            <w:pPr>
              <w:pStyle w:val="TableContents"/>
              <w:bidi w:val="0"/>
              <w:spacing w:before="0" w:after="283"/>
              <w:jc w:val="left"/>
              <w:rPr/>
            </w:pPr>
            <w:r>
              <w:rPr/>
              <w:t>(2)</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non-employee directors held the following number of outstanding stock options as of December 31, 2025: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2375"/>
        <w:gridCol w:w="120"/>
        <w:gridCol w:w="476"/>
        <w:gridCol w:w="4449"/>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4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Subject to Outstanding Stock Options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A. Lamond</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4449" w:type="dxa"/>
            <w:tcBorders/>
            <w:shd w:fill="CCEEFF" w:val="clear"/>
            <w:vAlign w:val="center"/>
          </w:tcPr>
          <w:p>
            <w:pPr>
              <w:pStyle w:val="TableContents"/>
              <w:bidi w:val="0"/>
              <w:spacing w:before="0" w:after="283"/>
              <w:jc w:val="right"/>
              <w:rPr/>
            </w:pPr>
            <w:r>
              <w:rPr/>
              <w:t>888</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J. Senner</w:t>
            </w:r>
          </w:p>
        </w:tc>
        <w:tc>
          <w:tcPr>
            <w:tcW w:w="12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4449" w:type="dxa"/>
            <w:tcBorders/>
            <w:vAlign w:val="center"/>
          </w:tcPr>
          <w:p>
            <w:pPr>
              <w:pStyle w:val="TableContents"/>
              <w:bidi w:val="0"/>
              <w:spacing w:before="0" w:after="283"/>
              <w:jc w:val="right"/>
              <w:rPr/>
            </w:pPr>
            <w:r>
              <w:rPr/>
              <w:t>1,286</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Bray</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4449" w:type="dxa"/>
            <w:tcBorders/>
            <w:shd w:fill="CCEEFF" w:val="clear"/>
            <w:vAlign w:val="center"/>
          </w:tcPr>
          <w:p>
            <w:pPr>
              <w:pStyle w:val="TableContents"/>
              <w:bidi w:val="0"/>
              <w:spacing w:before="0" w:after="283"/>
              <w:jc w:val="right"/>
              <w:rPr/>
            </w:pPr>
            <w:r>
              <w:rPr/>
              <w:t>691</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Margaret McLoughlin, Ph.D.</w:t>
            </w:r>
          </w:p>
        </w:tc>
        <w:tc>
          <w:tcPr>
            <w:tcW w:w="12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4449" w:type="dxa"/>
            <w:tcBorders/>
            <w:vAlign w:val="center"/>
          </w:tcPr>
          <w:p>
            <w:pPr>
              <w:pStyle w:val="TableContents"/>
              <w:bidi w:val="0"/>
              <w:spacing w:before="0" w:after="283"/>
              <w:jc w:val="right"/>
              <w:rPr/>
            </w:pPr>
            <w:r>
              <w:rPr/>
              <w:t>1,132</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 Ryan, OBE, Ph.D.</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4449" w:type="dxa"/>
            <w:tcBorders/>
            <w:shd w:fill="CCEEFF" w:val="clear"/>
            <w:vAlign w:val="center"/>
          </w:tcPr>
          <w:p>
            <w:pPr>
              <w:pStyle w:val="TableContents"/>
              <w:bidi w:val="0"/>
              <w:spacing w:before="0" w:after="283"/>
              <w:jc w:val="right"/>
              <w:rPr/>
            </w:pPr>
            <w:r>
              <w:rPr/>
              <w:t>974</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Luca Benatti, Ph.D.</w:t>
            </w:r>
          </w:p>
        </w:tc>
        <w:tc>
          <w:tcPr>
            <w:tcW w:w="12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4449" w:type="dxa"/>
            <w:tcBorders/>
            <w:vAlign w:val="center"/>
          </w:tcPr>
          <w:p>
            <w:pPr>
              <w:pStyle w:val="TableContents"/>
              <w:bidi w:val="0"/>
              <w:spacing w:before="0" w:after="283"/>
              <w:jc w:val="right"/>
              <w:rPr/>
            </w:pPr>
            <w:r>
              <w:rPr/>
              <w:t>315</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Rajiv Patni, M.D.</w:t>
            </w:r>
          </w:p>
        </w:tc>
        <w:tc>
          <w:tcPr>
            <w:tcW w:w="12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4449"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55"/>
        <w:gridCol w:w="7355"/>
      </w:tblGrid>
      <w:tr>
        <w:trPr/>
        <w:tc>
          <w:tcPr>
            <w:tcW w:w="155"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retroactive effect to the April 2026 Reverse Stock Split and the Reverse Stock Split.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June Bray resigned from the Board effective as of January 30, 2026 and was reappointed to the Board effective April 22,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(4)</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Rajiv Patni, Luca Benatti, Margi McLoughlin and Una Ryan resigned from the Board effective as of January 30,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outside director compensation policy adopted by our board of directors on June 7, 2022, as amended and restated on December 2, 2024 (the “Outside Director Compensation Policy”), we pay each non-employee director an annual cash retainer for service on the board of directors and an additional annual cash retainer for service on each committee on which the director is a member, which is paid quarterly in arrears. Our Lead Independent Director, chairperson of the board of directors, and the chair of each committee will receive higher annual cash retainers for such service. Each director may elect to receive all of the annual cash retainer, beginning with the annual cash retainer to be received on and after January 1, 2025, in the form of a stock option, which will vest in substantially equal quarterly installments on the last day of each quarter, subject to the director’s continued service through such date. The fees paid to non-employee directors for service on the board of directors and for service on each committee of the board of directors of which the director is a member are as follows: </w:t>
      </w:r>
    </w:p>
    <w:p>
      <w:pPr>
        <w:pStyle w:val="TextBody"/>
        <w:bidi w:val="0"/>
        <w:spacing w:before="0" w:after="0"/>
        <w:jc w:val="left"/>
        <w:rPr/>
      </w:pPr>
      <w:r>
        <w:rPr/>
        <w:t> </w:t>
      </w:r>
    </w:p>
    <w:tbl>
      <w:tblPr>
        <w:tblW w:w="8159" w:type="dxa"/>
        <w:jc w:val="left"/>
        <w:tblInd w:w="0" w:type="dxa"/>
        <w:tblLayout w:type="fixed"/>
        <w:tblCellMar>
          <w:top w:w="0" w:type="dxa"/>
          <w:left w:w="0" w:type="dxa"/>
          <w:bottom w:w="0" w:type="dxa"/>
          <w:right w:w="0" w:type="dxa"/>
        </w:tblCellMar>
      </w:tblPr>
      <w:tblGrid>
        <w:gridCol w:w="4175"/>
        <w:gridCol w:w="120"/>
        <w:gridCol w:w="292"/>
        <w:gridCol w:w="1423"/>
        <w:gridCol w:w="60"/>
        <w:gridCol w:w="120"/>
        <w:gridCol w:w="322"/>
        <w:gridCol w:w="1572"/>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283"/>
              <w:jc w:val="center"/>
              <w:rPr/>
            </w:pPr>
            <w:r>
              <w:rPr>
                <w:b/>
              </w:rPr>
              <w:t>Member Annual</w:t>
            </w:r>
            <w:r>
              <w:rPr/>
              <w:br/>
            </w:r>
            <w:r>
              <w:rPr>
                <w:b/>
              </w:rPr>
              <w:t>Cash Retainer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b/>
              </w:rPr>
              <w:t>Lead/Chairperson</w:t>
            </w:r>
            <w:r>
              <w:rPr/>
              <w:br/>
            </w:r>
            <w:r>
              <w:rPr>
                <w:b/>
              </w:rPr>
              <w:t>Annual Cash(1)</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423" w:type="dxa"/>
            <w:tcBorders/>
            <w:shd w:fill="CCEEFF" w:val="clear"/>
            <w:vAlign w:val="center"/>
          </w:tcPr>
          <w:p>
            <w:pPr>
              <w:pStyle w:val="TableContents"/>
              <w:bidi w:val="0"/>
              <w:spacing w:before="0" w:after="283"/>
              <w:jc w:val="right"/>
              <w:rPr/>
            </w:pPr>
            <w:r>
              <w:rPr/>
              <w:t>38,000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572" w:type="dxa"/>
            <w:tcBorders/>
            <w:shd w:fill="CCEEFF" w:val="clear"/>
            <w:vAlign w:val="center"/>
          </w:tcPr>
          <w:p>
            <w:pPr>
              <w:pStyle w:val="TableContents"/>
              <w:bidi w:val="0"/>
              <w:spacing w:before="0" w:after="283"/>
              <w:jc w:val="right"/>
              <w:rPr/>
            </w:pPr>
            <w:r>
              <w:rPr/>
              <w:t>52,500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572"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Committee</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423" w:type="dxa"/>
            <w:tcBorders/>
            <w:shd w:fill="CCEEFF" w:val="clear"/>
            <w:vAlign w:val="center"/>
          </w:tcPr>
          <w:p>
            <w:pPr>
              <w:pStyle w:val="TableContents"/>
              <w:bidi w:val="0"/>
              <w:spacing w:before="0" w:after="283"/>
              <w:jc w:val="right"/>
              <w:rPr/>
            </w:pPr>
            <w:r>
              <w:rPr/>
              <w:t>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572" w:type="dxa"/>
            <w:tcBorders/>
            <w:shd w:fill="CCEEFF" w:val="clear"/>
            <w:vAlign w:val="center"/>
          </w:tcPr>
          <w:p>
            <w:pPr>
              <w:pStyle w:val="TableContents"/>
              <w:bidi w:val="0"/>
              <w:spacing w:before="0" w:after="283"/>
              <w:jc w:val="right"/>
              <w:rPr/>
            </w:pPr>
            <w:r>
              <w:rPr/>
              <w:t>11,000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283"/>
              <w:jc w:val="right"/>
              <w:rPr/>
            </w:pPr>
            <w:r>
              <w:rPr/>
              <w:t>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572" w:type="dxa"/>
            <w:tcBorders/>
            <w:vAlign w:val="center"/>
          </w:tcPr>
          <w:p>
            <w:pPr>
              <w:pStyle w:val="TableContents"/>
              <w:bidi w:val="0"/>
              <w:spacing w:before="0" w:after="283"/>
              <w:jc w:val="right"/>
              <w:rPr/>
            </w:pPr>
            <w:r>
              <w:rPr/>
              <w:t>8,000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615" w:type="dxa"/>
        <w:jc w:val="left"/>
        <w:tblInd w:w="0" w:type="dxa"/>
        <w:tblLayout w:type="fixed"/>
        <w:tblCellMar>
          <w:top w:w="0" w:type="dxa"/>
          <w:left w:w="0" w:type="dxa"/>
          <w:bottom w:w="0" w:type="dxa"/>
          <w:right w:w="0" w:type="dxa"/>
        </w:tblCellMar>
      </w:tblPr>
      <w:tblGrid>
        <w:gridCol w:w="305"/>
        <w:gridCol w:w="7310"/>
      </w:tblGrid>
      <w:tr>
        <w:trPr/>
        <w:tc>
          <w:tcPr>
            <w:tcW w:w="305" w:type="dxa"/>
            <w:tcBorders/>
            <w:vAlign w:val="center"/>
          </w:tcPr>
          <w:p>
            <w:pPr>
              <w:pStyle w:val="TableContents"/>
              <w:bidi w:val="0"/>
              <w:spacing w:before="0" w:after="283"/>
              <w:jc w:val="left"/>
              <w:rPr/>
            </w:pPr>
            <w:r>
              <w:rPr/>
              <w:t>(1)</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amounts are inclusive of, and not in addition to, the Member Annual Cash Retainer.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our Outside Director Compensation Policy, each non-employee director who is appointed to our board of directors shall initially be granted a stock option to purchase 270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One-third of the shares subject to such initial stock option grant will vest on each of the first, second and third anniversaries of the date of grant, subject to the director’s continued service as a member of our board of directors through each vesting date. Further, at the close of business on the date of each annual meeting of stockholders, each continuing non-employee director will be granted a stock option to purchase the total shares of our common stock set forth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non-employee director’s appointment to our board of directors occurred more than six (6) months prior to the annual meeting of our stockholders, the stock option will cover 135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non-employee director’s appointment to our board of directors occurred between three (3) and six (6) months prior to the annual meeting of our stockholders, the stock option will cover 68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non-employee director’s appointment to our board of directors occurred less than three (3) months prior to the annual meeting of our stockholders, the non-employee director will not receive a stock option on the date of the annual meeting of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100% of the shares subject to any such annual stock option grant will vest in full on the one-year anniversary of the grant date, subject to the director’s continued service as a member of our board of directors through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All stock options granted to non-employee directors will be made pursuant to our 2019 Plan and will vest in full immediately prior to, and contingent upon, the consummation of a change in control of our Company, subject to the director’s continued service as a member of our board of directors through the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also reimburse our directors for their reasonable out-of-pocket expenses in connection with attending meetings of our board of directors and committees. </w:t>
      </w:r>
    </w:p>
    <w:p>
      <w:pPr>
        <w:pStyle w:val="TextBody"/>
        <w:bidi w:val="0"/>
        <w:spacing w:before="240" w:after="0"/>
        <w:jc w:val="left"/>
        <w:rPr>
          <w:rFonts w:ascii="Times New Roman" w:hAnsi="Times New Roman"/>
          <w:sz w:val="20"/>
        </w:rPr>
      </w:pPr>
      <w:r>
        <w:rPr>
          <w:rFonts w:ascii="Times New Roman" w:hAnsi="Times New Roman"/>
          <w:sz w:val="20"/>
        </w:rPr>
        <w:t xml:space="preserve">The non-employee director compensation program is intended to provide a total compensation package that enables us to attract and retain qualified and experienced individuals to serve as directors and to align our directors’ interests with those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46981_16"/>
      <w:bookmarkEnd w:id="18"/>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authorized capital stock consists of 250,000,000 shares of common stock, $0.001 par value per share, and 10,000,000 shares of preferred stock, 294,370 shares of which are designated as Series C Non-Voting Convertible Preferred Stock and 9,705,630 shares of which are undesignated. Our Board may establish the rights and preferences of the undesignated preferred stock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of record on all matters submitted to a vote of the stockholders. Cumulative voting for the election of directors is not provided for in our restated certificate of incorporation, which means the holders of a majority of our shares of common stock can elect all of the directors then standing for election.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dividends, if any, as may be declared from time to time by the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amended and restated certificate of incorporation, we have authority, subject to any limitations prescribed by law and without further stockholder approval, to issue from time to time up to 10,000,000 shares of preferred stock, par value $0.001 per share,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amended and restated certificate of incorporation, our board of directors has the authority to designate the rights, preferences, privileges and restrictions of each such series, including dividend rights, preferences, privileges and restrictions of each such series, including dividend rights, dividend rates, conversion rights, voting rights, terms of redemption, redemption prices, liquidation preferences, sinking fund terms and the number of shares constituting any series.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may have the effect of delaying, deferring or preventing a change in control of the company without further action by the stockholders. The issuance of redeemable convertible preferred stock with voting and conversion rights may also adversely affect the voting power of the holders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and the likelihood that such holders will receive dividend payments and payments upon liquidation. In certain circumstances, an issuance of preferred stock could have the effect of decreasing the market price of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C Non-Voting Convertible Preferred Stock </w:t>
      </w:r>
    </w:p>
    <w:p>
      <w:pPr>
        <w:pStyle w:val="TextBody"/>
        <w:bidi w:val="0"/>
        <w:spacing w:before="120" w:after="0"/>
        <w:jc w:val="left"/>
        <w:rPr>
          <w:rFonts w:ascii="Times New Roman" w:hAnsi="Times New Roman"/>
          <w:sz w:val="20"/>
        </w:rPr>
      </w:pPr>
      <w:r>
        <w:rPr>
          <w:rFonts w:ascii="Times New Roman" w:hAnsi="Times New Roman"/>
          <w:sz w:val="20"/>
        </w:rPr>
        <w:t>On May 18, 2026, our Board designated 294,370 shares of preferred stock as Series C Non-Voting Convertible Preferred Stock. As of July 29, 2026, we had 211,301.868 shares of preferred stock outstanding, all of which are Series C Non-Voting Convertible Preferred Stock. Each share of Series C Non-Voting Convertible Preferred Stock is convertible into 52 shares of common stock, subject to certain limitations, as described above. The rights of the Series C Non-Voting Convertible Preferred Stock are set forth in the Certificate of Designation, attached as Exhibit 3.1 to our Current Report on Form 8-K filed with the SEC on May 18, 2026 (the “Certificate of Designation”). Please see “</w:t>
      </w:r>
      <w:r>
        <w:rPr>
          <w:rFonts w:ascii="Times New Roman" w:hAnsi="Times New Roman"/>
          <w:i/>
          <w:sz w:val="20"/>
        </w:rPr>
        <w:t>Description of Series C Preferred Stock</w:t>
      </w:r>
      <w:r>
        <w:rPr>
          <w:rFonts w:ascii="Times New Roman" w:hAnsi="Times New Roman"/>
          <w:sz w:val="20"/>
        </w:rPr>
        <w:t xml:space="preserve">” under Proposal No. 1 for a complete description of the Certificate of Designation and the rights of the Series C Non-Voting Convertible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our board of directors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Limits on Ability of Stockholders to Act by Written Consent or Call a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 In addition, our amended and restated bylaws provides that special meetings of the stockholders may be called only by the chairperson of the board, the Chief Executive Officer, the lead independent director, or at the request of a majority of our board of directors. Stockholders may not call a special meeting, which may delay the ability of our stockholders to force consideration of a proposal or for holders controlling a majority of our capital stock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Board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one class of which is elected each year by our stockholders. The directors in each class will serve three-year terms. A third party may be discouraged from making a tender offer or otherwise attempting to obtain control of us as it is more difficult and time-consuming for stockholders to replace a majority of the directors on a classified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do not permit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and Bylaws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the above provisions of our amended and restated certificate of incorporation will require approval by holders of at least two thirds of our outstanding capital stock entitled to vote generally in the election of directors. The amendment of our amended and restated bylaws will require approval by the holders of at least two thirds of our outstanding capital stock entitled to vote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shares of common stock and preferred stock will be available for future issuances without stockholder approval, except as required by the listing standards of the Nasdaq Global Select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to the selection of an alternative forum, to the fullest extent permitted by law,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Delaware General Corporation Law or our amended and restated certificate of incorporation or amended and restated bylaws;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While the Delaware Supreme Court recently determined that such choice of forum provisions are facially valid, a stockholder may nevertheless seek to bring such a claim arising under the Securities Act against us, our directors, officers, employees or agents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we will indemnify our directors and officers, and may indemnify our employees and other agents, to the fullest extent permitted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Delaware law prohibits our amended and restated certificate of incorporation from limiting the liability of our directors for the following: </w:t>
      </w:r>
    </w:p>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us or to our stockholders;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 of dividends or unlawful stock repurchases or redemptions; and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can purchase insurance on behalf of any person whom we are required or permitted to indemnify.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no indemnification will be provided for any claim where a court determines that the indemnified party is prohibited from receiving indemnification. We believe that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charter and bylaw provisions and indemnification agreements are necessary to attract and retain qualified persons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agent’s address is 28 Liberty Street, Floor 53, New York, NY 10005.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“QNCX”.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46981_17"/>
      <w:bookmarkEnd w:id="19"/>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as of December 31, 2025 with respect to all of the Company’s equity compensation plans under which shares of our common stock may be issued. </w:t>
      </w:r>
    </w:p>
    <w:p>
      <w:pPr>
        <w:pStyle w:val="TextBody"/>
        <w:bidi w:val="0"/>
        <w:spacing w:before="0" w:after="0"/>
        <w:jc w:val="left"/>
        <w:rPr/>
      </w:pPr>
      <w:r>
        <w:rPr/>
        <w:t> </w:t>
      </w:r>
    </w:p>
    <w:tbl>
      <w:tblPr>
        <w:tblW w:w="11610" w:type="dxa"/>
        <w:jc w:val="left"/>
        <w:tblInd w:w="0" w:type="dxa"/>
        <w:tblLayout w:type="fixed"/>
        <w:tblCellMar>
          <w:top w:w="0" w:type="dxa"/>
          <w:left w:w="0" w:type="dxa"/>
          <w:bottom w:w="0" w:type="dxa"/>
          <w:right w:w="0" w:type="dxa"/>
        </w:tblCellMar>
      </w:tblPr>
      <w:tblGrid>
        <w:gridCol w:w="1175"/>
        <w:gridCol w:w="120"/>
        <w:gridCol w:w="216"/>
        <w:gridCol w:w="2459"/>
        <w:gridCol w:w="215"/>
        <w:gridCol w:w="60"/>
        <w:gridCol w:w="220"/>
        <w:gridCol w:w="2500"/>
        <w:gridCol w:w="60"/>
        <w:gridCol w:w="120"/>
        <w:gridCol w:w="343"/>
        <w:gridCol w:w="3892"/>
        <w:gridCol w:w="230"/>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75" w:type="dxa"/>
            <w:gridSpan w:val="2"/>
            <w:tcBorders/>
            <w:vAlign w:val="center"/>
          </w:tcPr>
          <w:p>
            <w:pPr>
              <w:pStyle w:val="TableContents"/>
              <w:bidi w:val="0"/>
              <w:spacing w:before="0" w:after="283"/>
              <w:jc w:val="center"/>
              <w:rPr>
                <w:b/>
              </w:rPr>
            </w:pPr>
            <w:r>
              <w:rPr>
                <w:b/>
              </w:rPr>
              <w:t>(a)</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2"/>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35" w:type="dxa"/>
            <w:gridSpan w:val="2"/>
            <w:tcBorders/>
            <w:vAlign w:val="center"/>
          </w:tcPr>
          <w:p>
            <w:pPr>
              <w:pStyle w:val="TableContents"/>
              <w:bidi w:val="0"/>
              <w:spacing w:before="0" w:after="283"/>
              <w:jc w:val="center"/>
              <w:rPr>
                <w:b/>
              </w:rPr>
            </w:pPr>
            <w:r>
              <w:rPr>
                <w:b/>
              </w:rPr>
              <w:t>(c)</w:t>
            </w:r>
          </w:p>
        </w:tc>
        <w:tc>
          <w:tcPr>
            <w:tcW w:w="230" w:type="dxa"/>
            <w:tcBorders/>
            <w:vAlign w:val="center"/>
          </w:tcPr>
          <w:p>
            <w:pPr>
              <w:pStyle w:val="TableContents"/>
              <w:bidi w:val="0"/>
              <w:spacing w:before="0" w:after="283"/>
              <w:jc w:val="left"/>
              <w:rPr/>
            </w:pPr>
            <w:r>
              <w:rPr/>
              <w:t> </w:t>
            </w:r>
          </w:p>
        </w:tc>
      </w:tr>
      <w:tr>
        <w:trPr/>
        <w:tc>
          <w:tcPr>
            <w:tcW w:w="11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to be</w:t>
              <w:br/>
              <w:t>issued upon exercise of</w:t>
              <w:br/>
              <w:t>outstanding options,</w:t>
              <w:br/>
              <w:t>warrants and rights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exercise</w:t>
              <w:br/>
              <w:t>price of outstanding</w:t>
              <w:br/>
              <w:t>options, warrants and</w:t>
              <w:br/>
              <w:t>rights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remaining</w:t>
              <w:br/>
              <w:t>available for future issuance under equity</w:t>
              <w:br/>
              <w:t>compensation plans (excluding securities</w:t>
              <w:br/>
              <w:t>reflected in column(a))</w:t>
            </w:r>
          </w:p>
        </w:tc>
        <w:tc>
          <w:tcPr>
            <w:tcW w:w="23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holders(1)</w:t>
            </w:r>
          </w:p>
        </w:tc>
        <w:tc>
          <w:tcPr>
            <w:tcW w:w="12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459" w:type="dxa"/>
            <w:tcBorders/>
            <w:shd w:fill="CCEEFF" w:val="clear"/>
            <w:vAlign w:val="center"/>
          </w:tcPr>
          <w:p>
            <w:pPr>
              <w:pStyle w:val="TableContents"/>
              <w:bidi w:val="0"/>
              <w:spacing w:before="0" w:after="283"/>
              <w:jc w:val="right"/>
              <w:rPr/>
            </w:pPr>
            <w:r>
              <w:rPr/>
              <w:t>51,499</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500" w:type="dxa"/>
            <w:tcBorders/>
            <w:shd w:fill="CCEEFF" w:val="clear"/>
            <w:vAlign w:val="center"/>
          </w:tcPr>
          <w:p>
            <w:pPr>
              <w:pStyle w:val="TableContents"/>
              <w:bidi w:val="0"/>
              <w:spacing w:before="0" w:after="283"/>
              <w:jc w:val="right"/>
              <w:rPr/>
            </w:pPr>
            <w:r>
              <w:rPr/>
              <w:t>548.00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3892" w:type="dxa"/>
            <w:tcBorders/>
            <w:shd w:fill="CCEEFF" w:val="clear"/>
            <w:vAlign w:val="center"/>
          </w:tcPr>
          <w:p>
            <w:pPr>
              <w:pStyle w:val="TableContents"/>
              <w:bidi w:val="0"/>
              <w:spacing w:before="0" w:after="283"/>
              <w:jc w:val="right"/>
              <w:rPr/>
            </w:pPr>
            <w:r>
              <w:rPr/>
              <w:t>17,176</w:t>
            </w:r>
          </w:p>
        </w:tc>
        <w:tc>
          <w:tcPr>
            <w:tcW w:w="230" w:type="dxa"/>
            <w:tcBorders/>
            <w:shd w:fill="CCEEFF" w:val="clear"/>
            <w:vAlign w:val="center"/>
          </w:tcPr>
          <w:p>
            <w:pPr>
              <w:pStyle w:val="TableContents"/>
              <w:bidi w:val="0"/>
              <w:spacing w:before="0" w:after="283"/>
              <w:jc w:val="left"/>
              <w:rPr/>
            </w:pPr>
            <w:r>
              <w:rPr/>
              <w:t>(3) </w:t>
            </w:r>
          </w:p>
        </w:tc>
      </w:tr>
      <w:tr>
        <w:trPr/>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holders(4)</w:t>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right"/>
              <w:rPr/>
            </w:pPr>
            <w:r>
              <w:rPr/>
              <w:t>12,474</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500" w:type="dxa"/>
            <w:tcBorders/>
            <w:vAlign w:val="center"/>
          </w:tcPr>
          <w:p>
            <w:pPr>
              <w:pStyle w:val="TableContents"/>
              <w:bidi w:val="0"/>
              <w:spacing w:before="0" w:after="283"/>
              <w:jc w:val="right"/>
              <w:rPr/>
            </w:pPr>
            <w:r>
              <w:rPr/>
              <w:t>564.63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3892" w:type="dxa"/>
            <w:tcBorders/>
            <w:vAlign w:val="center"/>
          </w:tcPr>
          <w:p>
            <w:pPr>
              <w:pStyle w:val="TableContents"/>
              <w:bidi w:val="0"/>
              <w:spacing w:before="0" w:after="283"/>
              <w:jc w:val="right"/>
              <w:rPr/>
            </w:pPr>
            <w:r>
              <w:rPr/>
              <w:t>9,567</w:t>
            </w:r>
          </w:p>
        </w:tc>
        <w:tc>
          <w:tcPr>
            <w:tcW w:w="230" w:type="dxa"/>
            <w:tcBorders/>
            <w:vAlign w:val="center"/>
          </w:tcPr>
          <w:p>
            <w:pPr>
              <w:pStyle w:val="TableContents"/>
              <w:bidi w:val="0"/>
              <w:spacing w:before="0" w:after="283"/>
              <w:jc w:val="left"/>
              <w:rPr/>
            </w:pPr>
            <w:r>
              <w:rPr/>
              <w:t>(6) </w:t>
            </w:r>
          </w:p>
        </w:tc>
      </w:tr>
      <w:tr>
        <w:trPr/>
        <w:tc>
          <w:tcPr>
            <w:tcW w:w="1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2459" w:type="dxa"/>
            <w:tcBorders/>
            <w:shd w:fill="CCEEFF" w:val="clear"/>
            <w:vAlign w:val="center"/>
          </w:tcPr>
          <w:p>
            <w:pPr>
              <w:pStyle w:val="TableContents"/>
              <w:bidi w:val="0"/>
              <w:spacing w:before="0" w:after="283"/>
              <w:jc w:val="right"/>
              <w:rPr/>
            </w:pPr>
            <w:r>
              <w:rPr/>
              <w:t>63,973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500" w:type="dxa"/>
            <w:tcBorders/>
            <w:shd w:fill="CCEEFF" w:val="clear"/>
            <w:vAlign w:val="center"/>
          </w:tcPr>
          <w:p>
            <w:pPr>
              <w:pStyle w:val="TableContents"/>
              <w:bidi w:val="0"/>
              <w:spacing w:before="0" w:after="283"/>
              <w:jc w:val="right"/>
              <w:rPr/>
            </w:pPr>
            <w:r>
              <w:rPr/>
              <w:t>551.22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3892" w:type="dxa"/>
            <w:tcBorders/>
            <w:shd w:fill="CCEEFF" w:val="clear"/>
            <w:vAlign w:val="center"/>
          </w:tcPr>
          <w:p>
            <w:pPr>
              <w:pStyle w:val="TableContents"/>
              <w:bidi w:val="0"/>
              <w:spacing w:before="0" w:after="283"/>
              <w:jc w:val="right"/>
              <w:rPr/>
            </w:pPr>
            <w:r>
              <w:rPr/>
              <w:t>26,743</w:t>
            </w:r>
          </w:p>
        </w:tc>
        <w:tc>
          <w:tcPr>
            <w:tcW w:w="23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pBdr>
                <w:top w:val="single" w:sz="2" w:space="1" w:color="000000"/>
              </w:pBdr>
              <w:bidi w:val="0"/>
              <w:spacing w:before="0" w:after="0"/>
              <w:jc w:val="left"/>
              <w:rPr/>
            </w:pPr>
            <w:r>
              <w:rPr/>
              <w:t> </w:t>
            </w:r>
          </w:p>
        </w:tc>
        <w:tc>
          <w:tcPr>
            <w:tcW w:w="2459" w:type="dxa"/>
            <w:tcBorders/>
            <w:vAlign w:val="center"/>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pBdr>
                <w:top w:val="single" w:sz="2" w:space="1" w:color="000000"/>
              </w:pBdr>
              <w:bidi w:val="0"/>
              <w:spacing w:before="0" w:after="0"/>
              <w:jc w:val="left"/>
              <w:rPr/>
            </w:pPr>
            <w:r>
              <w:rPr/>
              <w:t> </w:t>
            </w:r>
          </w:p>
        </w:tc>
        <w:tc>
          <w:tcPr>
            <w:tcW w:w="25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pBdr>
                <w:top w:val="single" w:sz="2" w:space="1" w:color="000000"/>
              </w:pBdr>
              <w:bidi w:val="0"/>
              <w:spacing w:before="0" w:after="0"/>
              <w:jc w:val="left"/>
              <w:rPr/>
            </w:pPr>
            <w:r>
              <w:rPr/>
              <w:t> </w:t>
            </w:r>
          </w:p>
        </w:tc>
        <w:tc>
          <w:tcPr>
            <w:tcW w:w="3892" w:type="dxa"/>
            <w:tcBorders/>
            <w:vAlign w:val="center"/>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55"/>
        <w:gridCol w:w="7355"/>
      </w:tblGrid>
      <w:tr>
        <w:trPr/>
        <w:tc>
          <w:tcPr>
            <w:tcW w:w="155"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Gives retroactive effect to the April 2026 Reverse Stock Split and the Reverse Stock Split.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2019 Plan and our 2019 ESPP. For a description of these plans, refer to Note 9 to the historical financial statements included in our Annual Report on Form 10-K for the year ended December 31, 2025. </w:t>
            </w:r>
          </w:p>
        </w:tc>
      </w:tr>
    </w:tbl>
    <w:tbl>
      <w:tblPr>
        <w:tblW w:w="5995" w:type="dxa"/>
        <w:jc w:val="left"/>
        <w:tblInd w:w="0" w:type="dxa"/>
        <w:tblLayout w:type="fixed"/>
        <w:tblCellMar>
          <w:top w:w="0" w:type="dxa"/>
          <w:left w:w="0" w:type="dxa"/>
          <w:bottom w:w="0" w:type="dxa"/>
          <w:right w:w="0" w:type="dxa"/>
        </w:tblCellMar>
      </w:tblPr>
      <w:tblGrid>
        <w:gridCol w:w="305"/>
        <w:gridCol w:w="5690"/>
      </w:tblGrid>
      <w:tr>
        <w:trPr/>
        <w:tc>
          <w:tcPr>
            <w:tcW w:w="305" w:type="dxa"/>
            <w:tcBorders/>
            <w:vAlign w:val="center"/>
          </w:tcPr>
          <w:p>
            <w:pPr>
              <w:pStyle w:val="TableContents"/>
              <w:bidi w:val="0"/>
              <w:spacing w:before="0" w:after="283"/>
              <w:jc w:val="left"/>
              <w:rPr/>
            </w:pPr>
            <w:r>
              <w:rPr/>
              <w:t>(2)</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51,499 options issued and outstanding under the 2019 Plan.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107,107 shares available for issuance under the 2019 Plan, and 236,427 shares available for issuance under the 2019 ESPP. The number of shares reserved for issuance under the 2019 Plan increased automatically by 176,006 shares on January 1, 2025 and will increase automatically on January 1 of each year by a number of shares of common stock equal to the lesser of (i) 214,635 shares; (ii) 4% of the shares of common stock outstanding on the last day of the prior fiscal year; or (iii) such number of shares determined by our board of directors. Our compensation committee has not commenced or authorized any offerings pursuant to our 2019 ESPP but may do so at a future time. The number of shares reserved for issuance under the 2019 ESPP increased automatically by 44,001 shares on January 1, 2025 and will increase automatically on January 1 of each year by the number of shares equal to the lessor of (1) 53,658 shares; (ii) 1% of the shares of common stock outstanding on the last day of the prior fiscal year; or (iii) such lesser number of shares determined by our board of directors. </w:t>
            </w:r>
          </w:p>
        </w:tc>
      </w:tr>
    </w:tbl>
    <w:tbl>
      <w:tblPr>
        <w:tblW w:w="5185" w:type="dxa"/>
        <w:jc w:val="left"/>
        <w:tblInd w:w="0" w:type="dxa"/>
        <w:tblLayout w:type="fixed"/>
        <w:tblCellMar>
          <w:top w:w="0" w:type="dxa"/>
          <w:left w:w="0" w:type="dxa"/>
          <w:bottom w:w="0" w:type="dxa"/>
          <w:right w:w="0" w:type="dxa"/>
        </w:tblCellMar>
      </w:tblPr>
      <w:tblGrid>
        <w:gridCol w:w="305"/>
        <w:gridCol w:w="4880"/>
      </w:tblGrid>
      <w:tr>
        <w:trPr/>
        <w:tc>
          <w:tcPr>
            <w:tcW w:w="305" w:type="dxa"/>
            <w:tcBorders/>
            <w:vAlign w:val="center"/>
          </w:tcPr>
          <w:p>
            <w:pPr>
              <w:pStyle w:val="TableContents"/>
              <w:bidi w:val="0"/>
              <w:spacing w:before="0" w:after="283"/>
              <w:jc w:val="left"/>
              <w:rPr/>
            </w:pPr>
            <w:r>
              <w:rPr/>
              <w:t>(4)</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our 2022 Inducement Plan and the Novosteo Plan.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16,156 shares of common stock issuable pursuant to outstanding stock options under our Novosteo Plan and 233,330 shares of common stock issuable pursuant to outstanding stock options under our 2022 Inducement Plan, each adopted exclusively for grants of awards to individuals that were not previously our employees or directors, as an inducement material to the individual’s entry into employment with us within the meaning of Rule 5635(c)(4) of the Nasdaq Listing Rules. The terms and conditions of the 2022 Inducement Plan and the equity awards to be granted thereunder are substantially similar to the 2019 Plan. The Novosteo Plan was assumed by the Company pursuant to the Novosteo Acquisition, which awards if cancelled, will not be reissued.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(6)</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24,679 shares available for issuance under the Novosteo Plan and 166,669 shares available for issuance under the 2022 Inducement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46981_18"/>
      <w:bookmarkEnd w:id="20"/>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(for example,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For this year’s Special Meeting, a number of brokers with account holders who are our stockholders will be “householding” the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or us. Direct your written request to Quince Therapeutics, Inc., Attn: Secretary, 611 Gateway Boulevard, Suite 273, South San Francisco, California 94080. Stockholders who currently receive multiple copies of the Special Meeting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46981_19"/>
      <w:bookmarkEnd w:id="21"/>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Dirk Thye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Dated: August 25,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46981_20"/>
      <w:bookmarkEnd w:id="22"/>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CONSOLIDATED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Quince Therapeutics, Inc., a Delaware corporation (the “Company” or “Quince”), acquired Orphai Therapeutics, LLC (formerly Orphai Therapeutics, Inc., “Orphai”), a Delaware limited liability company and wholly owned subsidiary of Orphai Holdings Therapeutics, Inc., a Delaware corporation (“HoldCo”), in accordance with the terms of the Agreement and Plan of Merger, dated May 17, 2026 (the “Merger Agreement”), by and among the Company, Phoenix Merger Sub I, Inc., a Delaware corporation and a wholly owned subsidiary of the Company (“First Merger Sub”), Phoenix Merger Sub II, LLC, a Delaware limited liability company and wholly owned subsidiary of the Company (“Second Merger Sub”), Orphai, and HoldCo. Pursuant to the Merger Agreement, First Merger Sub merged with and into HoldCo, pursuant to which HoldCo was the surviving corporation and became a wholly owned subsidiary of the Company (the “First Merger”). Immediately following the First Merger, HoldCo merged with and into Second Merger Sub, pursuant to which Second Merger Sub was the surviving entity (together with the First Merger,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Company issued to the stockholders of Orphai, among other things, an aggregate of 67,101.235 shares of Series C Non-Voting Convertible Preferred Stock, par value $0.001 per share (the “Series C Preferred Stock”), each of which is convertible into 52 shares of common stock (after giving effect to the adjustment to the conversion ratio as a result of the Reverse Stock Split (as defined below and representing 3,489,281 shares of common stock of the Company, par value $0.001 per share (“Common Stock”), on an as-converted-to-common basis and without giving effect to any beneficial ownership limitations),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acquisition of Orphai, on May 18, 2026, the Company entered into a Securities Purchase Agreement (the “Purchase Agreement”) with new and returning investors pursuant to which the Company issued and sold (i) an aggregate of 144,200.633 shares of Series C Preferred Stock, each share of which is convertible into 52 shares of Common Stock (after giving effect to the Reverse Stock Split and representing 7,498,447 shares on an as-converted-to-common basis and without giving effect to any beneficial ownership limitations, subject to certain conditions, at a price of $797.50 per share of Series C Preferred Stock and (ii) warrants to purchase 72,100.322 shares of Series C Preferred Stock (representing 3,749,231 shares of Common Stock on an as-converted to common basis, after giving effect to the Reverse Stock Split and without giving any effect to any beneficial ownership limitations) at an exercise price of $996.90 per share (collectively, the “PIPE Securities”), for aggregate upfront gross proceeds of approximately $115 million, with up to an additional approximately $72 million upon exercise of the warrants collectively, the “Financing”). The Financing closed on May 21, 2026.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receipt of stockholder approval of the Company Stockholder Matters (as defined in the Merger Agreement), each share of Series C Preferred Stock will automatically convert into 52 shares of Common Stock (after giving effect to the Reverse Stock Split), subject to certain beneficial ownership limitations established by each holder. Additionally, if at any time after the earlier of (i) the approval of the Company Stockholder Matters or (ii) the date that is six months following the initial issuance date of the Series C Preferred Stock, the Company fails to deliver to the holders of the Series C Preferred Stock shares of Common Stock underlying such shares of Series C Preferred Stock, (other than in certain circumstances set forth in the Certificate of Designation, as defined below) the holders of the Series C Preferred Stock would be entitled to require the Company to settle such undelivered shares for cash in an amount equal to the fair value of such undelivered shares of Common Stock at such time, as described in the Certificate of Designation of Preferences, Rights and Limitations of the Series C Preferred Stock (the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financial information presents the historical consolidated financial position of the Company, adjusted to give effect to the conversion of the Series C Preferred Stock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(the “Conversion”) that will automatically occur three business days subsequent to the expected affirmative vote for stockholder approval of the Company Stockholder Matters and adjusted to give effect to the reclassification of the Series C Preferred Stock warrant liability to equity classification as a result of the Conversion. The unaudited pro forma condensed balance sheet gives pro forma effect to the Conversion as if it had been consummated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financial information is based on the assumptions and adjustments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financial information, including the notes thereto, should be read in conjunction with the financial statements of the Company and the Company’s management’s discussion and analysis of financial condition and results of operations included in the Company’s Quarterly Report on Form 10-Q for the quarter ended June 30, 2026, filed with the Securities and Exchange Commission (“SEC”) on August 14,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effected a reverse stock split of our outstanding common stock and exchangeable shares at a ratio of 1-for-20, effective as of 11:59 p.m., Eastern Time, on June 29, 2026 (the “Reverse Stock Split”). The Company has reflected the reverse stock split herein, unless otherwise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CONSOLIDATED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2"/>
        <w:gridCol w:w="120"/>
        <w:gridCol w:w="140"/>
        <w:gridCol w:w="980"/>
        <w:gridCol w:w="155"/>
        <w:gridCol w:w="60"/>
        <w:gridCol w:w="198"/>
        <w:gridCol w:w="1563"/>
        <w:gridCol w:w="220"/>
        <w:gridCol w:w="85"/>
        <w:gridCol w:w="213"/>
        <w:gridCol w:w="827"/>
        <w:gridCol w:w="471"/>
        <w:gridCol w:w="60"/>
        <w:gridCol w:w="144"/>
        <w:gridCol w:w="1136"/>
        <w:gridCol w:w="171"/>
      </w:tblGrid>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6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Transaction Accounting</w:t>
              <w:br/>
              <w:t>Adjustment</w:t>
            </w:r>
          </w:p>
        </w:tc>
        <w:tc>
          <w:tcPr>
            <w:tcW w:w="4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Conversion</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br/>
              <w:t>Reference</w:t>
            </w:r>
          </w:p>
        </w:tc>
        <w:tc>
          <w:tcPr>
            <w:tcW w:w="4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As Adjusted</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563"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115,981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563"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115,981</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7,430</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3" w:type="dxa"/>
            <w:tcBorders/>
            <w:vAlign w:val="center"/>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123,411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123,411</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3" w:type="dxa"/>
            <w:tcBorders/>
            <w:vAlign w:val="center"/>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506</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78</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3" w:type="dxa"/>
            <w:tcBorders/>
            <w:vAlign w:val="center"/>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123,995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20"/>
              </w:rPr>
            </w:pPr>
            <w:r>
              <w:rPr>
                <w:sz w:val="20"/>
              </w:rPr>
              <w:t>$</w:t>
            </w:r>
          </w:p>
        </w:tc>
        <w:tc>
          <w:tcPr>
            <w:tcW w:w="1563"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123,995</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double" w:sz="6" w:space="1" w:color="000000"/>
              </w:pBdr>
              <w:bidi w:val="0"/>
              <w:spacing w:before="0" w:after="0"/>
              <w:jc w:val="left"/>
              <w:rPr/>
            </w:pPr>
            <w:r>
              <w:rPr/>
              <w:t> </w:t>
            </w:r>
          </w:p>
        </w:tc>
        <w:tc>
          <w:tcPr>
            <w:tcW w:w="1563" w:type="dxa"/>
            <w:tcBorders/>
            <w:vAlign w:val="center"/>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double" w:sz="6" w:space="1" w:color="000000"/>
              </w:pBdr>
              <w:bidi w:val="0"/>
              <w:spacing w:before="0" w:after="0"/>
              <w:jc w:val="left"/>
              <w:rPr/>
            </w:pPr>
            <w:r>
              <w:rPr/>
              <w:t> </w:t>
            </w:r>
          </w:p>
        </w:tc>
        <w:tc>
          <w:tcPr>
            <w:tcW w:w="1136"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MEZZANINE EQUITY AND STOCKHOLDERS’ EQUITY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563"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4,636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4,636</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3,864</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3" w:type="dxa"/>
            <w:tcBorders/>
            <w:vAlign w:val="center"/>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8,500</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(6,292</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b/>
              </w:rPr>
            </w:pPr>
            <w:r>
              <w:rPr>
                <w:b/>
              </w:rPr>
              <w:t>(a</w:t>
            </w:r>
          </w:p>
        </w:tc>
        <w:tc>
          <w:tcPr>
            <w:tcW w:w="471"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716</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3" w:type="dxa"/>
            <w:tcBorders/>
            <w:vAlign w:val="center"/>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(6,292</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9,216</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3" w:type="dxa"/>
            <w:tcBorders/>
            <w:vAlign w:val="center"/>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Mezzanine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C Preferred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143,811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(143,811</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b/>
              </w:rPr>
            </w:pPr>
            <w:r>
              <w:rPr>
                <w:b/>
              </w:rPr>
              <w:t>(b</w:t>
            </w:r>
          </w:p>
        </w:tc>
        <w:tc>
          <w:tcPr>
            <w:tcW w:w="471"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11</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b/>
              </w:rPr>
            </w:pPr>
            <w:r>
              <w:rPr>
                <w:b/>
              </w:rPr>
              <w:t>(b</w:t>
            </w:r>
          </w:p>
        </w:tc>
        <w:tc>
          <w:tcPr>
            <w:tcW w:w="471"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12</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460,447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150,092</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b/>
              </w:rPr>
            </w:pPr>
            <w:r>
              <w:rPr>
                <w:b/>
              </w:rPr>
              <w:t>(a</w:t>
            </w:r>
          </w:p>
        </w:tc>
        <w:tc>
          <w:tcPr>
            <w:tcW w:w="471" w:type="dxa"/>
            <w:tcBorders/>
            <w:shd w:fill="CCEEFF" w:val="clear"/>
            <w:vAlign w:val="center"/>
          </w:tcPr>
          <w:p>
            <w:pPr>
              <w:pStyle w:val="TableContents"/>
              <w:bidi w:val="0"/>
              <w:spacing w:before="0" w:after="283"/>
              <w:jc w:val="left"/>
              <w:rPr>
                <w:b/>
              </w:rPr>
            </w:pPr>
            <w:r>
              <w:rPr>
                <w:b/>
              </w:rPr>
              <w:t>), (b)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610,539</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4,255</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(500,027</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3" w:type="dxa"/>
            <w:tcBorders/>
            <w:vAlign w:val="center"/>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(35,324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150,103</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114,779</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single" w:sz="2" w:space="1" w:color="000000"/>
              </w:pBdr>
              <w:bidi w:val="0"/>
              <w:spacing w:before="0" w:after="0"/>
              <w:jc w:val="left"/>
              <w:rPr/>
            </w:pPr>
            <w:r>
              <w:rPr/>
              <w:t> </w:t>
            </w:r>
          </w:p>
        </w:tc>
        <w:tc>
          <w:tcPr>
            <w:tcW w:w="1563" w:type="dxa"/>
            <w:tcBorders/>
            <w:vAlign w:val="center"/>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mezzanine equity, and stockholders’ equity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123,995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563"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4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123,995</w:t>
            </w:r>
          </w:p>
        </w:tc>
        <w:tc>
          <w:tcPr>
            <w:tcW w:w="171" w:type="dxa"/>
            <w:tcBorders/>
            <w:shd w:fill="CCEEFF" w:val="clear"/>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pBdr>
                <w:top w:val="double" w:sz="6" w:space="1" w:color="000000"/>
              </w:pBdr>
              <w:bidi w:val="0"/>
              <w:spacing w:before="0" w:after="0"/>
              <w:jc w:val="left"/>
              <w:rPr/>
            </w:pPr>
            <w:r>
              <w:rPr/>
              <w:t> </w:t>
            </w:r>
          </w:p>
        </w:tc>
        <w:tc>
          <w:tcPr>
            <w:tcW w:w="1563" w:type="dxa"/>
            <w:tcBorders/>
            <w:vAlign w:val="center"/>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double" w:sz="6" w:space="1" w:color="000000"/>
              </w:pBdr>
              <w:bidi w:val="0"/>
              <w:spacing w:before="0" w:after="0"/>
              <w:jc w:val="left"/>
              <w:rPr/>
            </w:pPr>
            <w:r>
              <w:rPr/>
              <w:t> </w:t>
            </w:r>
          </w:p>
        </w:tc>
        <w:tc>
          <w:tcPr>
            <w:tcW w:w="1136"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6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 of Common stock outstanding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1,017,063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563" w:type="dxa"/>
            <w:tcBorders/>
            <w:vAlign w:val="center"/>
          </w:tcPr>
          <w:p>
            <w:pPr>
              <w:pStyle w:val="TableContents"/>
              <w:bidi w:val="0"/>
              <w:spacing w:before="0" w:after="283"/>
              <w:jc w:val="right"/>
              <w:rPr/>
            </w:pPr>
            <w:r>
              <w:rPr/>
              <w:t>10,987,728</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b/>
              </w:rPr>
            </w:pPr>
            <w:r>
              <w:rPr>
                <w:b/>
              </w:rPr>
              <w:t>(a</w:t>
            </w:r>
          </w:p>
        </w:tc>
        <w:tc>
          <w:tcPr>
            <w:tcW w:w="471"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12,004,791</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CONDENSED CONSOLIDATED BALANCE SHEET </w:t>
      </w:r>
    </w:p>
    <w:p>
      <w:pPr>
        <w:pStyle w:val="TextBody"/>
        <w:bidi w:val="0"/>
        <w:spacing w:before="240" w:after="0"/>
        <w:jc w:val="left"/>
        <w:rPr>
          <w:rFonts w:ascii="Times New Roman" w:hAnsi="Times New Roman"/>
          <w:b/>
          <w:sz w:val="20"/>
        </w:rPr>
      </w:pPr>
      <w:r>
        <w:rPr>
          <w:rFonts w:ascii="Times New Roman" w:hAnsi="Times New Roman"/>
          <w:b/>
          <w:sz w:val="20"/>
        </w:rPr>
        <w:t xml:space="preserve">Note 1. Transaction accounting adjustments for the Conversion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expected reclassification of 83,064.827 shares of Series C Preferred Stock warrant liability to equity. As a result of the Conversion, the conditions requiring liability classification of the warrants are no longer present, and equity classification is appropriate. This results in an increase to additional paid-in capital and a decrease to the Series C Preferred Stock warrant liability of $6.3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expected conversion of 211,301.868 shares of Series C Preferred Stock into 10,987,728 shares of common stock that will automatically occur three business days subsequent to the expected affirmative vote for the Conversion. The transaction accounting adjustments reflecting the Conversion assumes the full conversion of all of the shares of Series C Preferred Stock and do not reflect the conversion of shares that are not expected to convert due to certain beneficial ownership limitations established by each holder based solely on the shares of Series C Preferred Stock beneficially owned by the holders thereof. The number of shares of Series C Preferred Stock that ultimately convert into shares of common stock may be more or less than our expectations.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46981_21"/>
      <w:bookmarkEnd w:id="23"/>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THE COMPANY’S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240" w:after="0"/>
        <w:jc w:val="left"/>
        <w:rPr>
          <w:rFonts w:ascii="Times New Roman" w:hAnsi="Times New Roman"/>
          <w:sz w:val="20"/>
        </w:rPr>
      </w:pPr>
      <w:r>
        <w:rPr>
          <w:rFonts w:ascii="Times New Roman" w:hAnsi="Times New Roman"/>
          <w:sz w:val="20"/>
        </w:rPr>
        <w:t>Quince Therapeutics, Inc. (the “</w:t>
      </w:r>
      <w:r>
        <w:rPr>
          <w:rFonts w:ascii="Times New Roman" w:hAnsi="Times New Roman"/>
          <w:b/>
          <w:i/>
          <w:sz w:val="20"/>
        </w:rPr>
        <w:t>Company</w:t>
      </w:r>
      <w:r>
        <w:rPr>
          <w:rFonts w:ascii="Times New Roman" w:hAnsi="Times New Roman"/>
          <w:sz w:val="20"/>
        </w:rPr>
        <w:t>”), a corporation organized and existing under and by virtue of the General Corporation Law of the State of Delaware (the “</w:t>
      </w:r>
      <w:r>
        <w:rPr>
          <w:rFonts w:ascii="Times New Roman" w:hAnsi="Times New Roman"/>
          <w:b/>
          <w:i/>
          <w:sz w:val="20"/>
        </w:rPr>
        <w:t>DGCL</w:t>
      </w:r>
      <w:r>
        <w:rPr>
          <w:rFonts w:ascii="Times New Roman" w:hAnsi="Times New Roman"/>
          <w:sz w:val="20"/>
        </w:rPr>
        <w:t xml:space="preserve">”), does hereby certify: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Quince Therapeutics, Inc., and the date on which the Certificate of Incorporation of this corporation was originally filed with the Secretary of State of the State of Delaware on June 20, 2012, under the name “Cortexyme, Inc.” The Certificate of Incorporation was amended and restated by an Amended and Restated Certificate of Incorporation on May 13, 2019, and further amended by Certificate of Amendments to the Amended and Restated Certificate of Incorporation on August 1, 2022, April 9, 2026 and June 26, 2026 (together, the “</w:t>
      </w:r>
      <w:r>
        <w:rPr>
          <w:rFonts w:ascii="Times New Roman" w:hAnsi="Times New Roman"/>
          <w:b/>
          <w:i/>
          <w:sz w:val="20"/>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The Board of Directors of the Company (the “</w:t>
      </w:r>
      <w:r>
        <w:rPr>
          <w:rFonts w:ascii="Times New Roman" w:hAnsi="Times New Roman"/>
          <w:b/>
          <w:i/>
          <w:sz w:val="20"/>
        </w:rPr>
        <w:t>Board</w:t>
      </w:r>
      <w:r>
        <w:rPr>
          <w:rFonts w:ascii="Times New Roman" w:hAnsi="Times New Roman"/>
          <w:sz w:val="20"/>
        </w:rPr>
        <w:t xml:space="preserve">”), acting in accordance with the provisions of Sections 141 and 242 of the DGCL, adopted resolutions amending its Certificate of Incorporation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Article IV, Section 1 shall be amended and restated to read in its entirety as follows: </w:t>
      </w:r>
    </w:p>
    <w:p>
      <w:pPr>
        <w:pStyle w:val="TextBody"/>
        <w:bidi w:val="0"/>
        <w:spacing w:before="480" w:after="0"/>
        <w:jc w:val="center"/>
        <w:rPr/>
      </w:pPr>
      <w:r>
        <w:rPr/>
        <w:t>“</w:t>
      </w:r>
      <w:r>
        <w:rPr>
          <w:rFonts w:ascii="Times New Roman" w:hAnsi="Times New Roman"/>
          <w:b/>
          <w:sz w:val="20"/>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1. The total number of shares of all classes of stock that the Corporation has authority to issue is 285,000,000 shares, consisting of two classes: 275,000,000 shares of Common Stock, $0.001 par value per share (“</w:t>
      </w:r>
      <w:r>
        <w:rPr>
          <w:rFonts w:ascii="Times New Roman" w:hAnsi="Times New Roman"/>
          <w:b/>
          <w:i/>
          <w:sz w:val="20"/>
        </w:rPr>
        <w:t>Common Stock</w:t>
      </w:r>
      <w:r>
        <w:rPr>
          <w:rFonts w:ascii="Times New Roman" w:hAnsi="Times New Roman"/>
          <w:sz w:val="20"/>
        </w:rPr>
        <w:t>”), and 10,000,000 shares of Preferred Stock, $0.001 par value per share (“</w:t>
      </w:r>
      <w:r>
        <w:rPr>
          <w:rFonts w:ascii="Times New Roman" w:hAnsi="Times New Roman"/>
          <w:b/>
          <w:i/>
          <w:sz w:val="20"/>
        </w:rPr>
        <w:t>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Effective as of 11:59 p.m. Eastern time on June 29, 2026 (the “</w:t>
      </w:r>
      <w:r>
        <w:rPr>
          <w:rFonts w:ascii="Times New Roman" w:hAnsi="Times New Roman"/>
          <w:b/>
          <w:i/>
          <w:sz w:val="20"/>
        </w:rPr>
        <w:t>Effective Time</w:t>
      </w:r>
      <w:r>
        <w:rPr>
          <w:rFonts w:ascii="Times New Roman" w:hAnsi="Times New Roman"/>
          <w:sz w:val="20"/>
        </w:rPr>
        <w:t>”), each twenty (20) shares of the Corporation’s Common Stock, par value $0.001 per share, issued and outstanding shall be combined into one share of Common Stock, par value $0.001 per share (the “</w:t>
      </w:r>
      <w:r>
        <w:rPr>
          <w:rFonts w:ascii="Times New Roman" w:hAnsi="Times New Roman"/>
          <w:b/>
          <w:i/>
          <w:sz w:val="20"/>
        </w:rPr>
        <w:t>Old Common Stock</w:t>
      </w:r>
      <w:r>
        <w:rPr>
          <w:rFonts w:ascii="Times New Roman" w:hAnsi="Times New Roman"/>
          <w:sz w:val="20"/>
        </w:rPr>
        <w:t>”), either issued or outstanding, immediately prior to the Effective Time, will be automatically reclassified and combined (without any further act) into a smaller number of shares such that each twenty shares of Old Common Stock issued and outstanding immediately prior to the Effective Time is reclassified into one share of Common Stock, $0.001 par value per share, of the Corporation (the “</w:t>
      </w:r>
      <w:r>
        <w:rPr>
          <w:rFonts w:ascii="Times New Roman" w:hAnsi="Times New Roman"/>
          <w:b/>
          <w:i/>
          <w:sz w:val="20"/>
        </w:rPr>
        <w:t>New Common Stock</w:t>
      </w:r>
      <w:r>
        <w:rPr>
          <w:rFonts w:ascii="Times New Roman" w:hAnsi="Times New Roman"/>
          <w:sz w:val="20"/>
        </w:rPr>
        <w:t>”), without increasing or decreasing the amount of stated capital or paid-in surplus of the Corporation (the “</w:t>
      </w:r>
      <w:r>
        <w:rPr>
          <w:rFonts w:ascii="Times New Roman" w:hAnsi="Times New Roman"/>
          <w:b/>
          <w:i/>
          <w:sz w:val="20"/>
        </w:rPr>
        <w:t>Reverse Stock Split</w:t>
      </w:r>
      <w:r>
        <w:rPr>
          <w:rFonts w:ascii="Times New Roman" w:hAnsi="Times New Roman"/>
          <w:sz w:val="20"/>
        </w:rPr>
        <w:t xml:space="preserve">”). The Board of Directors shall make provision for the issuance of that number of fractions of New Common Stock such that any fractional share of a holder otherwise resulting from the Reverse Stock Split shall be rounded up to the next whole number of shares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plus the fraction, if any, of a share of New Common Stock issued as aforesaid.”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foregoing amendment to the Certificate of Incorporation was duly approved by the Board. </w:t>
      </w:r>
    </w:p>
    <w:p>
      <w:pPr>
        <w:pStyle w:val="TextBody"/>
        <w:bidi w:val="0"/>
        <w:spacing w:before="24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Thereafter, pursuant to a resolution of the Board, this Certificate of Amendment was submitted to the stockholders of the Company for their approval, and was duly adopted in accordance with the provisions of Section 242 of the DGCL</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Fifth: </w:t>
      </w:r>
      <w:r>
        <w:rPr>
          <w:rFonts w:ascii="Times New Roman" w:hAnsi="Times New Roman"/>
          <w:sz w:val="20"/>
        </w:rPr>
        <w:t xml:space="preserve">This amendment to the Certificate of Incorporation shall be effective on and as of the effective time of 5:00 p.m., Eastern Time, on [***DATE***].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335"/>
        <w:gridCol w:w="60"/>
        <w:gridCol w:w="2855"/>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Quince Therapeutics, Inc.</w:t>
            </w:r>
          </w:p>
        </w:tc>
      </w:tr>
      <w:tr>
        <w:trPr/>
        <w:tc>
          <w:tcPr>
            <w:tcW w:w="33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85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Name: Dirk Thye</w:t>
            </w:r>
          </w:p>
        </w:tc>
      </w:tr>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46981_22"/>
      <w:bookmarkEnd w:id="24"/>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July 29,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[   ], 2026 </w:t>
      </w:r>
    </w:p>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215"/>
        <w:gridCol w:w="1085"/>
      </w:tblGrid>
      <w:tr>
        <w:trPr/>
        <w:tc>
          <w:tcPr>
            <w:tcW w:w="215" w:type="dxa"/>
            <w:tcBorders/>
            <w:vAlign w:val="center"/>
          </w:tcPr>
          <w:p>
            <w:pPr>
              <w:pStyle w:val="TableContents"/>
              <w:bidi w:val="0"/>
              <w:spacing w:before="0" w:after="283"/>
              <w:jc w:val="left"/>
              <w:rPr>
                <w:b/>
              </w:rPr>
            </w:pPr>
            <w:r>
              <w:rPr>
                <w:b/>
              </w:rPr>
              <w:t>1.</w:t>
            </w:r>
          </w:p>
        </w:tc>
        <w:tc>
          <w:tcPr>
            <w:tcW w:w="1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Successor to Prior Plans.</w:t>
      </w:r>
      <w:r>
        <w:rPr>
          <w:rFonts w:ascii="Times New Roman" w:hAnsi="Times New Roman"/>
          <w:sz w:val="20"/>
        </w:rPr>
        <w:t xml:space="preserve"> The Plan is the successor to the Prior Plans. As of the Effective Date, (i) no additional awards may be granted under the Prior Plans; and (ii) all outstanding awards granted under a Prior Plan will remain subject to the terms of such Prior Plan. All Awards granted under this Plan will be subject to the terms of this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any Award granted prior to the Effective Date will be conditioned on stockholder approval of the Plan. </w:t>
      </w:r>
    </w:p>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215"/>
        <w:gridCol w:w="3185"/>
      </w:tblGrid>
      <w:tr>
        <w:trPr/>
        <w:tc>
          <w:tcPr>
            <w:tcW w:w="215" w:type="dxa"/>
            <w:tcBorders/>
            <w:vAlign w:val="center"/>
          </w:tcPr>
          <w:p>
            <w:pPr>
              <w:pStyle w:val="TableContents"/>
              <w:bidi w:val="0"/>
              <w:spacing w:before="0" w:after="283"/>
              <w:jc w:val="left"/>
              <w:rPr>
                <w:b/>
              </w:rPr>
            </w:pPr>
            <w:r>
              <w:rPr>
                <w:b/>
              </w:rPr>
              <w:t>2.</w:t>
            </w:r>
          </w:p>
        </w:tc>
        <w:tc>
          <w:tcPr>
            <w:tcW w:w="3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issued pursuant to Awards will not exceed (i) 821,872 shares, plus (ii) up to 1,377,845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5% of the Share Reserve Increase Stock outstanding as of December 31 of the preceding year; provided, however, that the Board may act prior to January 1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7,000,000 shares. </w:t>
      </w:r>
    </w:p>
    <w:p>
      <w:pPr>
        <w:pStyle w:val="TextBody"/>
        <w:bidi w:val="0"/>
        <w:spacing w:before="240" w:after="0"/>
        <w:jc w:val="left"/>
        <w:rPr>
          <w:rFonts w:ascii="Times New Roman" w:hAnsi="Times New Roman"/>
          <w:b/>
          <w:sz w:val="20"/>
        </w:rPr>
      </w:pPr>
      <w:r>
        <w:rPr>
          <w:rFonts w:ascii="Times New Roman" w:hAnsi="Times New Roman"/>
          <w:b/>
          <w:sz w:val="20"/>
        </w:rPr>
        <w:t xml:space="preserve">(c) Share Reserve Operation.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5635(c)(3), NYSE Listed Company Manual Section 303A.08, NYSE American Company Guide Section 711 or other applicable rule, and such issuance will not reduce the number of shares available for issuance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215"/>
        <w:gridCol w:w="3215"/>
      </w:tblGrid>
      <w:tr>
        <w:trPr/>
        <w:tc>
          <w:tcPr>
            <w:tcW w:w="215" w:type="dxa"/>
            <w:tcBorders/>
            <w:vAlign w:val="center"/>
          </w:tcPr>
          <w:p>
            <w:pPr>
              <w:pStyle w:val="TableContents"/>
              <w:bidi w:val="0"/>
              <w:spacing w:before="0" w:after="283"/>
              <w:jc w:val="left"/>
              <w:rPr>
                <w:b/>
              </w:rPr>
            </w:pPr>
            <w:r>
              <w:rPr>
                <w:b/>
              </w:rPr>
              <w:t>2.</w:t>
            </w:r>
          </w:p>
        </w:tc>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AND LIMITATIONS. </w:t>
            </w:r>
          </w:p>
        </w:tc>
      </w:tr>
    </w:tbl>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the shares of Common Stock with respect to which Incentive Stock Options are exercisable for the first time by any Optionholder during any calendar year (under all plans of the Company and any Affiliates) exceeds $100,000 (or such other limit established in the Code) or any Incentive Stock Options otherwise do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Award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(d) 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fiscal year, including Awards granted and cash fees paid by the Company to such Non-Employee Director, will not exceed (1) $750,000 in total value or (2) in the event such Non-Employee Director is first appointed or elected to the Board during such fiscal year, $1,000,000 in total value, in each case, calculating the value of any equity awards based on the grant date fair value of such equity awards for financial reporting purposes. For avoidance of doubt, compensation will count towards this limit for the fiscal year in which it was granted or earned, and not later when distributed, in the event it is deferred. </w:t>
      </w:r>
    </w:p>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215"/>
        <w:gridCol w:w="4490"/>
      </w:tblGrid>
      <w:tr>
        <w:trPr/>
        <w:tc>
          <w:tcPr>
            <w:tcW w:w="215" w:type="dxa"/>
            <w:tcBorders/>
            <w:vAlign w:val="center"/>
          </w:tcPr>
          <w:p>
            <w:pPr>
              <w:pStyle w:val="TableContents"/>
              <w:bidi w:val="0"/>
              <w:spacing w:before="0" w:after="283"/>
              <w:jc w:val="left"/>
              <w:rPr>
                <w:b/>
              </w:rPr>
            </w:pPr>
            <w:r>
              <w:rPr>
                <w:b/>
              </w:rPr>
              <w:t>4.</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applicable Award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applicable Award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applicable Award Agreement: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applicable Award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applicable Award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215"/>
        <w:gridCol w:w="6725"/>
      </w:tblGrid>
      <w:tr>
        <w:trPr/>
        <w:tc>
          <w:tcPr>
            <w:tcW w:w="215" w:type="dxa"/>
            <w:tcBorders/>
            <w:vAlign w:val="center"/>
          </w:tcPr>
          <w:p>
            <w:pPr>
              <w:pStyle w:val="TableContents"/>
              <w:bidi w:val="0"/>
              <w:spacing w:before="0" w:after="283"/>
              <w:jc w:val="left"/>
              <w:rPr>
                <w:b/>
              </w:rPr>
            </w:pPr>
            <w:r>
              <w:rPr>
                <w:b/>
              </w:rPr>
              <w:t>5.</w:t>
            </w:r>
          </w:p>
        </w:tc>
        <w:tc>
          <w:tcPr>
            <w:tcW w:w="6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AWARDS OTHER THAN 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applicable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(i) Form of Award.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applicable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b/>
          <w:sz w:val="20"/>
        </w:rPr>
      </w:pPr>
      <w:r>
        <w:rPr>
          <w:rFonts w:ascii="Times New Roman" w:hAnsi="Times New Roman"/>
          <w:b/>
          <w:sz w:val="20"/>
        </w:rPr>
        <w:t xml:space="preserve">(ii) Consideration.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applicable Award Agreement, (2) any portion of his or her RSU Award that has not vested will be forfeited upon such termination, and (3) the Participant will have no further right, title or interest in the Restricted Stock Award or RSU Award, the shares of Common Stock subject to or issuable pursuant to the Restricted Stock Award or RSU Award, or any consideration in respect of the Restricted Stock Award or RSU Award.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applicable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215"/>
        <w:gridCol w:w="8000"/>
      </w:tblGrid>
      <w:tr>
        <w:trPr/>
        <w:tc>
          <w:tcPr>
            <w:tcW w:w="215" w:type="dxa"/>
            <w:tcBorders/>
            <w:vAlign w:val="center"/>
          </w:tcPr>
          <w:p>
            <w:pPr>
              <w:pStyle w:val="TableContents"/>
              <w:bidi w:val="0"/>
              <w:spacing w:before="0" w:after="283"/>
              <w:jc w:val="left"/>
              <w:rPr>
                <w:b/>
              </w:rPr>
            </w:pPr>
            <w:r>
              <w:rPr>
                <w:b/>
              </w:rPr>
              <w:t>6.</w:t>
            </w:r>
          </w:p>
        </w:tc>
        <w:tc>
          <w:tcPr>
            <w:tcW w:w="80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b/>
              </w:rPr>
            </w:pPr>
            <w:r>
              <w:rPr>
                <w:b/>
              </w:rPr>
              <w:t>7.</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240" w:after="0"/>
        <w:jc w:val="left"/>
        <w:rPr>
          <w:rFonts w:ascii="Times New Roman" w:hAnsi="Times New Roman"/>
          <w:b/>
          <w:sz w:val="20"/>
        </w:rPr>
      </w:pPr>
      <w:r>
        <w:rPr>
          <w:rFonts w:ascii="Times New Roman" w:hAnsi="Times New Roman"/>
          <w:b/>
          <w:sz w:val="20"/>
        </w:rPr>
        <w:t xml:space="preserve">(c) Delegation to Committee.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Effect of Board’s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215"/>
        <w:gridCol w:w="2060"/>
      </w:tblGrid>
      <w:tr>
        <w:trPr/>
        <w:tc>
          <w:tcPr>
            <w:tcW w:w="215" w:type="dxa"/>
            <w:tcBorders/>
            <w:vAlign w:val="center"/>
          </w:tcPr>
          <w:p>
            <w:pPr>
              <w:pStyle w:val="TableContents"/>
              <w:bidi w:val="0"/>
              <w:spacing w:before="0" w:after="283"/>
              <w:jc w:val="left"/>
              <w:rPr>
                <w:b/>
              </w:rPr>
            </w:pPr>
            <w:r>
              <w:rPr>
                <w:b/>
              </w:rPr>
              <w:t>8.</w:t>
            </w:r>
          </w:p>
        </w:tc>
        <w:tc>
          <w:tcPr>
            <w:tcW w:w="2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any Tax-Related Item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(vi) allowing the Participant to enter into a “same day sale” commitment with a broker-dealer (including, without limitation, a commitment under a previously established written trading plan that meets the requirements of Rule 10b5-1 under the Exchange Act); or (vii)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215"/>
        <w:gridCol w:w="1820"/>
      </w:tblGrid>
      <w:tr>
        <w:trPr/>
        <w:tc>
          <w:tcPr>
            <w:tcW w:w="215" w:type="dxa"/>
            <w:tcBorders/>
            <w:vAlign w:val="center"/>
          </w:tcPr>
          <w:p>
            <w:pPr>
              <w:pStyle w:val="TableContents"/>
              <w:bidi w:val="0"/>
              <w:spacing w:before="0" w:after="283"/>
              <w:jc w:val="left"/>
              <w:rPr>
                <w:b/>
              </w:rPr>
            </w:pPr>
            <w:r>
              <w:rPr>
                <w:b/>
              </w:rPr>
              <w:t>9.</w:t>
            </w:r>
          </w:p>
        </w:tc>
        <w:tc>
          <w:tcPr>
            <w:tcW w:w="1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35"/>
        <w:gridCol w:w="3140"/>
      </w:tblGrid>
      <w:tr>
        <w:trPr/>
        <w:tc>
          <w:tcPr>
            <w:tcW w:w="335" w:type="dxa"/>
            <w:tcBorders/>
            <w:vAlign w:val="center"/>
          </w:tcPr>
          <w:p>
            <w:pPr>
              <w:pStyle w:val="TableContents"/>
              <w:bidi w:val="0"/>
              <w:spacing w:before="0" w:after="283"/>
              <w:jc w:val="left"/>
              <w:rPr>
                <w:b/>
              </w:rPr>
            </w:pPr>
            <w:r>
              <w:rPr>
                <w:b/>
              </w:rPr>
              <w:t>10.</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283"/>
              <w:jc w:val="left"/>
              <w:rPr>
                <w:b/>
              </w:rPr>
            </w:pPr>
            <w:r>
              <w:rPr>
                <w:b/>
              </w:rPr>
              <w:t>11.</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b/>
              </w:rPr>
            </w:pPr>
            <w:r>
              <w:rPr>
                <w:b/>
              </w:rPr>
              <w:t>12.</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b/>
              </w:rPr>
            </w:pPr>
            <w:r>
              <w:rPr>
                <w:b/>
              </w:rPr>
              <w:t>13.</w:t>
            </w:r>
          </w:p>
        </w:tc>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Each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has the meaning ascribed to such term in any written agreement between the Participant and the Company or any Affiliate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Affiliate; (iii) such Participant’s material violation of any contract or agreement between the Participant and the Company or any Affiliate, the employment policies of the Company or any Affiliate, or of any statutory or other duty owed to the Company or any Affiliate; (iv) such Participant’s unauthorized use or disclosure of the confidential information or trade secrets of the Company or any Affiliate; (v) such Participant’s gross misconduct; (vi) such Participant’s failure or refusal to comply with a material directive from the Board, the Participant’s supervisor or, if applicable, the board of directors of any Affiliate; or (vii) such Participant’s breach of a fiduciary duty to the Company or any Affiliate.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any Affiliate,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individuals who, on the Effective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Quince Therapeutics, Inc. a Delaware corporation.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Continuous Service</w:t>
      </w:r>
      <w:r>
        <w:rPr>
          <w:rFonts w:ascii="Times New Roman" w:hAnsi="Times New Roman"/>
          <w:sz w:val="20"/>
        </w:rPr>
        <w:t xml:space="preserve">” means that the Participant’s service with the Company or an Affiliate, whether as an Employee, Director or Consultant, is not interrupted or terminated. A change in the capacity in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Regulations Section 1.409A-1(h)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date that this Plan is approved by the Company’s stockholders.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Employer</w:t>
      </w:r>
      <w:r>
        <w:rPr>
          <w:rFonts w:ascii="Times New Roman" w:hAnsi="Times New Roman"/>
          <w:sz w:val="20"/>
        </w:rPr>
        <w:t xml:space="preserve">” means the Company or the Affiliate of the Company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Other Award</w:t>
      </w:r>
      <w:r>
        <w:rPr>
          <w:rFonts w:ascii="Times New Roman" w:hAnsi="Times New Roman"/>
          <w:sz w:val="20"/>
        </w:rPr>
        <w:t xml:space="preserve">” means an award based in whole or in part by reference to the Common Stock which is granted pursuant to the terms and conditions of Section 5(c).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Performance Criteria</w:t>
      </w:r>
      <w:r>
        <w:rPr>
          <w:rFonts w:ascii="Times New Roman" w:hAnsi="Times New Roman"/>
          <w:sz w:val="20"/>
        </w:rPr>
        <w:t xml:space="preserve">”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Performance Goals</w:t>
      </w:r>
      <w:r>
        <w:rPr>
          <w:rFonts w:ascii="Times New Roman" w:hAnsi="Times New Roman"/>
          <w:sz w:val="20"/>
        </w:rPr>
        <w:t xml:space="preserve">”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may establish or provide for other adjustment items in the Award Agreement at the time the Award is granted or in such other document setting forth the Performance Goals at the time the Performance Goals are established.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Quince Therapeutics, Inc. 2026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 to 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Prior Plans</w:t>
      </w:r>
      <w:r>
        <w:rPr>
          <w:rFonts w:ascii="Times New Roman" w:hAnsi="Times New Roman"/>
          <w:sz w:val="20"/>
        </w:rPr>
        <w:t xml:space="preserve">” means (i) the Quince Therapeutics, Inc. 2019 Equity Incentive Plan, as amended from time to time, (ii) the Novosteo Inc. 2019 Equity Incentive Plan, as amended from time to time, (iii) the Quince Therapeutics, Inc. 2022 Inducement Plan, as amended from time to time, (iv) the Orphai Therapeutics Inc. 2025 Stock Incentive Plan, as amended from time to time, and (v) the Orphai Therapeutics Inc. 2013 Employee, Director and Consultant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xml:space="preserve">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xml:space="preserve"> “</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Plans (including, but not limited to, outstanding stock awards assumed by the Company in connection with the transaction contemplated by that certain Agreement and Plan of Merger by and between the Company, Orphai Therapeutics Inc., and certain other parties, dated May 17, 2026)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240" w:after="0"/>
        <w:jc w:val="left"/>
        <w:rPr>
          <w:rFonts w:ascii="Times New Roman" w:hAnsi="Times New Roman"/>
          <w:sz w:val="20"/>
        </w:rPr>
      </w:pPr>
      <w:r>
        <w:rPr>
          <w:rFonts w:ascii="Times New Roman" w:hAnsi="Times New Roman"/>
          <w:b/>
          <w:sz w:val="20"/>
        </w:rPr>
        <w:t>(zz)</w:t>
      </w:r>
      <w:r>
        <w:rPr>
          <w:rFonts w:ascii="Times New Roman" w:hAnsi="Times New Roman"/>
          <w:sz w:val="20"/>
        </w:rPr>
        <w:t xml:space="preserve">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xml:space="preserve">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xml:space="preserve">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(ddd)</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xml:space="preserve">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xml:space="preserve"> “</w:t>
      </w:r>
      <w:r>
        <w:rPr>
          <w:rFonts w:ascii="Times New Roman" w:hAnsi="Times New Roman"/>
          <w:b/>
          <w:i/>
          <w:sz w:val="20"/>
        </w:rPr>
        <w:t>Share Reserve Increase Stock</w:t>
      </w:r>
      <w:r>
        <w:rPr>
          <w:rFonts w:ascii="Times New Roman" w:hAnsi="Times New Roman"/>
          <w:sz w:val="20"/>
        </w:rPr>
        <w:t xml:space="preserve">” means, as of the applicable time of measurement, the sum of (i) the number of shares of Capital Stock issued and outstanding and (ii) the number of shares of Capital Stock issuable upon the exercise of any pre-funded warrants (without regard to any beneficial ownership limitations).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xml:space="preserv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xml:space="preserve">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xml:space="preserve">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46981_23"/>
      <w:bookmarkEnd w:id="25"/>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ADOPTED BY THE BOARD OF DIRECTORS: July 29,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[   ], 2026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b/>
              </w:rPr>
            </w:pPr>
            <w:r>
              <w:rPr>
                <w:b/>
              </w:rPr>
              <w:t>1.</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GENERAL; PURPOSE. </w:t>
            </w:r>
          </w:p>
        </w:tc>
      </w:tr>
    </w:tbl>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b/>
              </w:rPr>
            </w:pPr>
            <w:r>
              <w:rPr>
                <w:b/>
              </w:rPr>
              <w:t>2.</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References herein to the Board shall be deemed to refer to the Committee except where context dictates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in good faith will not be subject to review by any person and will be final, binding and conclusive on all persons.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215"/>
        <w:gridCol w:w="5195"/>
      </w:tblGrid>
      <w:tr>
        <w:trPr/>
        <w:tc>
          <w:tcPr>
            <w:tcW w:w="215" w:type="dxa"/>
            <w:tcBorders/>
            <w:vAlign w:val="center"/>
          </w:tcPr>
          <w:p>
            <w:pPr>
              <w:pStyle w:val="TableContents"/>
              <w:bidi w:val="0"/>
              <w:spacing w:before="0" w:after="283"/>
              <w:jc w:val="left"/>
              <w:rPr>
                <w:b/>
              </w:rPr>
            </w:pPr>
            <w:r>
              <w:rPr>
                <w:b/>
              </w:rPr>
              <w:t>3.</w:t>
            </w:r>
          </w:p>
        </w:tc>
        <w:tc>
          <w:tcPr>
            <w:tcW w:w="5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OF COMMON STOCK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provisions of Section 11(a) relating to Capitalization Adjustments, the maximum number of shares of Common Stock that may be issued under the Plan will not exceed 142,045 shares of Common Stock, plus the number of shares of Common Stock that are automatically added on January 1st of each year for a period of up to ten years, commencing on January 1, 2027 and ending on (and including) January 1, 2036 in an amount equal to the lesser of (x) one percent (1%) of the Share Reserve Increase Stock outstanding as of December 31st of the preceding calendar year, and (y) 284,090 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283"/>
              <w:jc w:val="left"/>
              <w:rPr>
                <w:b/>
              </w:rPr>
            </w:pPr>
            <w:r>
              <w:rPr>
                <w:b/>
              </w:rPr>
              <w:t>4.</w:t>
            </w:r>
          </w:p>
        </w:tc>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PURCHASE RIGHTS; OFFERING.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215"/>
        <w:gridCol w:w="1385"/>
      </w:tblGrid>
      <w:tr>
        <w:trPr/>
        <w:tc>
          <w:tcPr>
            <w:tcW w:w="215" w:type="dxa"/>
            <w:tcBorders/>
            <w:vAlign w:val="center"/>
          </w:tcPr>
          <w:p>
            <w:pPr>
              <w:pStyle w:val="TableContents"/>
              <w:bidi w:val="0"/>
              <w:spacing w:before="0" w:after="283"/>
              <w:jc w:val="left"/>
              <w:rPr>
                <w:b/>
              </w:rPr>
            </w:pPr>
            <w:r>
              <w:rPr>
                <w:b/>
              </w:rPr>
              <w:t>5.</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such individual will not receive any Purchase Right under that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215"/>
        <w:gridCol w:w="3770"/>
      </w:tblGrid>
      <w:tr>
        <w:trPr/>
        <w:tc>
          <w:tcPr>
            <w:tcW w:w="215" w:type="dxa"/>
            <w:tcBorders/>
            <w:vAlign w:val="center"/>
          </w:tcPr>
          <w:p>
            <w:pPr>
              <w:pStyle w:val="TableContents"/>
              <w:bidi w:val="0"/>
              <w:spacing w:before="0" w:after="283"/>
              <w:jc w:val="left"/>
              <w:rPr>
                <w:b/>
              </w:rPr>
            </w:pPr>
            <w:r>
              <w:rPr>
                <w:b/>
              </w:rPr>
              <w:t>6.</w:t>
            </w:r>
          </w:p>
        </w:tc>
        <w:tc>
          <w:tcPr>
            <w:tcW w:w="3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PURCHASE RIGHTS; PURCHASE PRICE.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defined by the Board in each Offering)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no less than the lesser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215"/>
        <w:gridCol w:w="4745"/>
      </w:tblGrid>
      <w:tr>
        <w:trPr/>
        <w:tc>
          <w:tcPr>
            <w:tcW w:w="215" w:type="dxa"/>
            <w:tcBorders/>
            <w:vAlign w:val="center"/>
          </w:tcPr>
          <w:p>
            <w:pPr>
              <w:pStyle w:val="TableContents"/>
              <w:bidi w:val="0"/>
              <w:spacing w:before="0" w:after="283"/>
              <w:jc w:val="left"/>
              <w:rPr>
                <w:b/>
              </w:rPr>
            </w:pPr>
            <w:r>
              <w:rPr>
                <w:b/>
              </w:rPr>
              <w:t>7.</w:t>
            </w:r>
          </w:p>
        </w:tc>
        <w:tc>
          <w:tcPr>
            <w:tcW w:w="4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WITHDRAWAL; TERMINATION.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the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215"/>
        <w:gridCol w:w="3320"/>
      </w:tblGrid>
      <w:tr>
        <w:trPr/>
        <w:tc>
          <w:tcPr>
            <w:tcW w:w="215" w:type="dxa"/>
            <w:tcBorders/>
            <w:vAlign w:val="center"/>
          </w:tcPr>
          <w:p>
            <w:pPr>
              <w:pStyle w:val="TableContents"/>
              <w:bidi w:val="0"/>
              <w:spacing w:before="0" w:after="283"/>
              <w:jc w:val="left"/>
              <w:rPr>
                <w:b/>
              </w:rPr>
            </w:pPr>
            <w:r>
              <w:rPr>
                <w:b/>
              </w:rPr>
              <w:t>8.</w:t>
            </w:r>
          </w:p>
        </w:tc>
        <w:tc>
          <w:tcPr>
            <w:tcW w:w="3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PURCHASE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the payment of interest is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283"/>
              <w:jc w:val="left"/>
              <w:rPr>
                <w:b/>
              </w:rPr>
            </w:pPr>
            <w:r>
              <w:rPr>
                <w:b/>
              </w:rPr>
              <w:t>9.</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U.S. federal or state, foreign or other regulatory commission, agency or other Governmental Body having jurisdiction over the Plan such authority as may be required to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335"/>
        <w:gridCol w:w="3200"/>
      </w:tblGrid>
      <w:tr>
        <w:trPr/>
        <w:tc>
          <w:tcPr>
            <w:tcW w:w="335" w:type="dxa"/>
            <w:tcBorders/>
            <w:vAlign w:val="center"/>
          </w:tcPr>
          <w:p>
            <w:pPr>
              <w:pStyle w:val="TableContents"/>
              <w:bidi w:val="0"/>
              <w:spacing w:before="0" w:after="283"/>
              <w:jc w:val="left"/>
              <w:rPr>
                <w:b/>
              </w:rPr>
            </w:pPr>
            <w:r>
              <w:rPr>
                <w:b/>
              </w:rPr>
              <w:t>10.</w:t>
            </w:r>
          </w:p>
        </w:tc>
        <w:tc>
          <w:tcPr>
            <w:tcW w:w="3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335"/>
        <w:gridCol w:w="7985"/>
      </w:tblGrid>
      <w:tr>
        <w:trPr/>
        <w:tc>
          <w:tcPr>
            <w:tcW w:w="335" w:type="dxa"/>
            <w:tcBorders/>
            <w:vAlign w:val="center"/>
          </w:tcPr>
          <w:p>
            <w:pPr>
              <w:pStyle w:val="TableContents"/>
              <w:bidi w:val="0"/>
              <w:spacing w:before="0" w:after="283"/>
              <w:jc w:val="left"/>
              <w:rPr>
                <w:b/>
              </w:rPr>
            </w:pPr>
            <w:r>
              <w:rPr>
                <w:b/>
              </w:rPr>
              <w:t>11.</w:t>
            </w:r>
          </w:p>
        </w:tc>
        <w:tc>
          <w:tcPr>
            <w:tcW w:w="7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CORPORATE TRANSACTIONS.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335"/>
        <w:gridCol w:w="5870"/>
      </w:tblGrid>
      <w:tr>
        <w:trPr/>
        <w:tc>
          <w:tcPr>
            <w:tcW w:w="335" w:type="dxa"/>
            <w:tcBorders/>
            <w:vAlign w:val="center"/>
          </w:tcPr>
          <w:p>
            <w:pPr>
              <w:pStyle w:val="TableContents"/>
              <w:bidi w:val="0"/>
              <w:spacing w:before="0" w:after="283"/>
              <w:jc w:val="left"/>
              <w:rPr>
                <w:b/>
              </w:rPr>
            </w:pPr>
            <w:r>
              <w:rPr>
                <w:b/>
              </w:rPr>
              <w:t>12.</w:t>
            </w:r>
          </w:p>
        </w:tc>
        <w:tc>
          <w:tcPr>
            <w:tcW w:w="5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TERMINATION OR SUSPENSION OF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If the Plan is terminated, the Board, in its discretion, may elect to terminate all outstanding Offerings either immediately or upon completion of the purchase of shares of Common Stock on the next Purchase Date (which may be sooner than originally scheduled, if determined by the Board in its discretion), or may elect to permit Offerings to expire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rate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335"/>
        <w:gridCol w:w="4205"/>
      </w:tblGrid>
      <w:tr>
        <w:trPr/>
        <w:tc>
          <w:tcPr>
            <w:tcW w:w="335" w:type="dxa"/>
            <w:tcBorders/>
            <w:vAlign w:val="center"/>
          </w:tcPr>
          <w:p>
            <w:pPr>
              <w:pStyle w:val="TableContents"/>
              <w:bidi w:val="0"/>
              <w:spacing w:before="0" w:after="283"/>
              <w:jc w:val="left"/>
              <w:rPr>
                <w:b/>
              </w:rPr>
            </w:pPr>
            <w:r>
              <w:rPr>
                <w:b/>
              </w:rPr>
              <w:t>13.</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TAX QUALIFICATION; 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335"/>
        <w:gridCol w:w="2720"/>
      </w:tblGrid>
      <w:tr>
        <w:trPr/>
        <w:tc>
          <w:tcPr>
            <w:tcW w:w="335" w:type="dxa"/>
            <w:tcBorders/>
            <w:vAlign w:val="center"/>
          </w:tcPr>
          <w:p>
            <w:pPr>
              <w:pStyle w:val="TableContents"/>
              <w:bidi w:val="0"/>
              <w:spacing w:before="0" w:after="283"/>
              <w:jc w:val="left"/>
              <w:rPr>
                <w:b/>
              </w:rPr>
            </w:pPr>
            <w:r>
              <w:rPr>
                <w:b/>
              </w:rPr>
              <w:t>14.</w:t>
            </w:r>
          </w:p>
        </w:tc>
        <w:tc>
          <w:tcPr>
            <w:tcW w:w="2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335"/>
        <w:gridCol w:w="3050"/>
      </w:tblGrid>
      <w:tr>
        <w:trPr/>
        <w:tc>
          <w:tcPr>
            <w:tcW w:w="335" w:type="dxa"/>
            <w:tcBorders/>
            <w:vAlign w:val="center"/>
          </w:tcPr>
          <w:p>
            <w:pPr>
              <w:pStyle w:val="TableContents"/>
              <w:bidi w:val="0"/>
              <w:spacing w:before="0" w:after="283"/>
              <w:jc w:val="left"/>
              <w:rPr>
                <w:b/>
              </w:rPr>
            </w:pPr>
            <w:r>
              <w:rPr>
                <w:b/>
              </w:rPr>
              <w:t>15.</w:t>
            </w:r>
          </w:p>
        </w:tc>
        <w:tc>
          <w:tcPr>
            <w:tcW w:w="30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PROVISIONS.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Plan and any controversy arising out of or relating to the Plan will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b/>
              </w:rPr>
            </w:pPr>
            <w:r>
              <w:rPr>
                <w:b/>
              </w:rPr>
              <w:t>16.</w:t>
            </w:r>
          </w:p>
        </w:tc>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the Code and any applicable securities, federal, state, foreign, material local or municipal or other law, statute, constitution, principle of common law, resolution, ordinance, code, edict, decree,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Quince Therapeutics, Inc., a Delaware corporation.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Contributions</w:t>
      </w:r>
      <w:r>
        <w:rPr>
          <w:rFonts w:ascii="Times New Roman" w:hAnsi="Times New Roman"/>
          <w:sz w:val="20"/>
        </w:rPr>
        <w:t xml:space="preserve">”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the date that this Plan is approved by the Company’s stockholders.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“Non-423 Component”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Quince Therapeutics, Inc. 2026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Share Reserve Increase Stock</w:t>
      </w:r>
      <w:r>
        <w:rPr>
          <w:rFonts w:ascii="Times New Roman" w:hAnsi="Times New Roman"/>
          <w:sz w:val="20"/>
        </w:rPr>
        <w:t xml:space="preserve">” means, as of the applicable time of measurement, the sum of (i) the number of shares of Capital Stock issued and outstanding and (ii) the number of shares of Capital Stock issuable upon the exercise of any pre-funded warrants (without regard to any beneficial ownership limitations).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SPECIAL MEETING OF STOCKHOLDERS QUINCE THERAPEUTICS, INC. October 6, 2026 GO GREEN e-Consent makes it easy to go paperless. With e-Consent, you can quickly access your proxy material, statements and other eligible documents online, while reducing costs, clutter and paper waste. Enroll today at equiniti.com/us/ast-access. NOTICE OF INTERNET AVAILABILITY OF PROXY MATERIAL: The Notice of Special Meeting of Stockholders, Proxy Statement, and Proxy Card are available at www.eqproxyportal.com/43164/special. Please sign, date and promptly return your proxy card in the envelope provided as soon as possible. Please detach along perforated line and mail in the envelope provided. 00030003030333000000 7 092526 THE BOARD OF DIRECTORS RECOMMENDS A VOTE “FOR” PROPOSALS NOS. 1, 2, 3, 4, 5, AND 6. PLEASE SIGN, DATE AND RETURN PROMPTLY IN THE ENCLOSED ENVELOPE. PLEASE MARK YOUR VOTE IN BLUE OR BLACK INK AS SHOWN HERE Our Board of Directors recommends that you vote FOR the approval of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a change of control of the Company pursuant to Nasdaq Listing Rule 5635(b), as described in Proposal One of the Proxy Statement, FOR the approval of the issuance of shares of our common stock, upon conversion of the PIPE Preferred Shares and upon exercise of the PIPE Warrants pursuant to Nasdaq Listing Rule 5635(d), as described in Proposal Two of the Proxy Statement, FOR the approval of an amendment to our certificate of incorporation to increase the number of authorized shares of our common stock from 250,000,000 to 275,000,000, as described in Proposal Three of the Proxy Statement, FOR the approval of the 2026 Equity Incentive Plan, as described in Proposal Four of the Proxy Statement, FOR the approval of the 2026 Employee Stock Purchase Plan, as described in Proposal Five of the Proxy Statement, and FOR the approval of the adjournment or postponement of the Special Meeting, if necessary, to continue to solicit votes for Proposals Nos. 1, 2 and/or 3, as described in Proposal Six of the Proxy Statement. To change the address on your account, please check the box at right and indicate your new address in the address space above. Please note that changes to the registered name(s) on the account may not be submitted via this method. 1. To approve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2. To approve the issuance of shares of our common stock, upon conversion of the PIPE Preferred Shares and upon exercise of the PIPE Warrants pursuant to Nasdaq Listing Rule 5635(d). 3. To approve an amendment to our certificate of incorporation to increase the number of authorized shares of our common stock from 250,000,000 to 275,000,000. 4. To approve the 2026 Equity Incentive Plan. 5. To approve the 2026 ESPP. 6. To approve the adjournment or postponement of the Special Meeting, if necessary, to continue to solicit votes for Proposals Nos. 1, 2 and/or 3. NOTE: Such other business as may properly come before the meeting or adjournment or postponement thereof. THIS PROXY WHEN PROPERLY EXECUTED WILL BE VOTED IN THE MANNER DIRECTED HEREIN BY THE UNDERSIGNED STOCKHOLDER(S). IF NO DIRECTION IS MADE, THIS PROXY WILL BE VOTED “FOR” PROPOSALS NOS. 1, 2, 3, 4, 5, AND 6. Note: The proxies are authorized to vote in their discretion upon such other business as may properly come before the Special Meeting or any adjournment or postponement thereof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SPECIAL MEETING OF STOCKHOLDERS QUINCE THERAPEUTICS, INC. October 6, 2026, at 11:00 a.m. Eastern Time PROXY VOTING INSTRUCTIONS INTERNET - Access www.voteproxy.com and follow the instructions or scan the QR code with your smartphone. Have your proxy card available when you access the web page. TELEPHONE - Call toll-free 1-800-PROXIES (1-800-776-9437) in the United States or +1-201-299-4446 worldwide from any touch-tone telephone and follow the instructions. Have your proxy card available when you call. Vote online or by phone until 11:59 p.m. Eastern Time the day before the meeting. MAIL - Sign, date and promptly return your proxy card in the envelope provided as soon as possible. VIRTUALLY AT THE MEETING - The meeting will be hosted virtually at the website edge.media-server.com/mmc/p/yb6vakam. Use the password quince2026 and have your control number available. GO GREEN - e-Consent makes it easy to go paperless. With e-Consent, you can quickly access your proxy material, statements and other eligible documents online, while reducing costs, clutter and paper waste. Enroll today at equiniti.com/us/ast-access. COMPANY NUMBER ACCOUNT NUMBER CONTROL NUMBER NOTICE OF INTERNET AVAILABILITY OF PROXY MATERIAL: The Notice of Special Meeting of Stockholders, Proxy Statement, and Proxy Card are available at www.eqproxyportal.com/43164/special. Please detach along perforated line and mail in the envelope provided IF you are not voting via telephone or the internet. 00030003030333000000 7 092526 THE BOARD OF DIRECTORS RECOMMENDS A VOTE “FOR” PROPOSALS NOS. 1, 2, 3, 4, 5, AND 6. PLEASE SIGN, DATE AND RETURN PROMPTLY IN THE ENCLOSED ENVELOPE. PLEASE MARK YOUR VOTE IN BLUE OR BLACK INK AS SHOWN HERE x Our Board of Directors recommends that you vote FOR the approval of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a change of control of the Company pursuant to Nasdaq Listing Rule 5635(b), as described in Proposal One of the Proxy Statement, FOR the approval of the issuance of shares of our common stock, upon conversion of the PIPE Preferred Shares and upon exercise of the PIPE Warrants pursuant to Nasdaq Listing Rule 5635(d), as described in Proposal Two of the Proxy Statement, FOR the approval of an amendment to our certificate of incorporation to increase the number of authorized shares of our common stock from 250,000,000 to 275,000,000, as described in Proposal Three of the Proxy Statement, FOR the approval of the 2026 Equity Incentive Plan, as described in Proposal Four of the Proxy Statement, FOR the approval of the 2026 Employee Stock Purchase Plan, as described in Proposal Five of the Proxy Statement, and FOR the approval of the adjournment or postponement of the Special Meeting, if necessary, to continue to solicit votes for Proposals Nos. 1, 2 and/or 3, as described in Proposal Six of the Proxy Statement. To change the address on your account, please check the box at right and indicate your new address in the address space above. Please note that changes to the registered name(s) on the account may not be submitted via this method. 1. To approve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the change of control of the Company pursuant to Nasdaq Listing Rule 5635(b). 2. To approve the issuance of shares of our common stock, upon conversion of the PIPE Preferred Shares and upon exercise of the PIPE Warrants pursuant to Nasdaq Listing Rule 5635(d). 3. To approve an amendment to our certificate of incorporation to increase the number of authorized shares of our common stock from 250,000,000 to 275,000,000. 4. To approve the 2026 Equity Incentive Plan. 5. To approve the 2026 ESPP. 6. To approve the adjournment or postponement of the Special Meeting, if necessary, to continue to solicit votes for Proposals Nos. 1, 2 and/or 3. NOTE: Such other business as may properly come before the meeting or adjournment or postponement thereof. THIS PROXY WHEN PROPERLY EXECUTED WILL BE VOTED IN THE MANNER DIRECTED HEREIN BY THE UNDERSIGNED STOCKHOLDER(S). IF NO DIRECTION IS MADE, THIS PROXY WILL BE VOTED “FOR” PROPOSALS NOS. 1, 2, 3, 4, 5, AND 6. Note: The proxies are authorized to vote in their discretion upon such other business as may properly come before the Special Meeting or any adjournment or postponement thereof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FOR AGAINST ABSTAIN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Special Meeting of Stockholders of QUINCE THERAPEUTICS, INC. Tuesday, October 6, 2026 11:00 a.m. Eastern Time via live webcast at edge.media-server.com/mmc/p/yb6vakam Online check-in will commence at 10:30 a.m. Eastern Time. Password: quince2026 YOUR VOTE IS IMPORTANT: Even if you plan to attend the Special Meeting online, please vote your shares by proxy, telephone or internet prior to the meeting. 0 QUINCE THERAPEUTICS, INC. This Proxy is Solicited on behalf of the Board of Directors The undersigned stockholder(s) hereby appoint(s) Dirk Thye and Brendan Hannah, and each of them, as proxies for the undersigned, each to vote, as designated on the reverse side of this ballot, all of the shares of common stock of Quince Therapeutics, Inc. that the undersigned stockholder(s) may be entitled to vote at the Special Meeting of Stockholders of Quince Therapeutics, Inc. to be held on October 6, 2026, at 11:00 a.m. Eastern Time (local time), via live webcast on the internet at edge.media-server.com/mmc/p/yb6vakam, and any and all adjournments or postponements thereof, with all powers that the undersigned(s) would possess if personally present, on all matters set forth on the reverse side and in accordance with the instructions set forth on the reverse side, with discretionary authority as to any other business that may properly come before the Special Meeting. The undersigned hereby acknowledge(s) receipt of a copy of Quince Therapeutics, Inc.’s Definitive Proxy Statement dated August 25, 2026. The undersigned hereby expressly revokes any and all proxies heretofore given or executed by the undersigned with respect to the shares of stock represented by this proxy and, by fil-ing this proxy with the Secretary of Quince Therapeutics, Inc., gives notice of such revocation. This proxy, when properly executed and returned, will be voted in the manner directed herein. If no such direction is made, this proxy will be voted FOR the approval of the issuance of shares of our common stock, upon conversion of our Series C Preferred Stock and exercise of the Warrants and Orphai Options, which (a) will represent more than 20% of the shares of common stock outstanding pursuant to Nasdaq Listing Rule 5635(a) and (b) may, together with certain changes to management and our Board, result in a change of control of the Company pursuant to Nasdaq Listing Rule 5635(b), as described in Proposal One of the Proxy Statement, FOR the approval of the issuance of shares of our common stock, upon conversion of the PIPE Preferred Shares and upon exercise of the PIPE Warrants pursuant to Nasdaq Listing Rule 5635(d), as described in Proposal Two of the Proxy Statement, FOR the approval of an amendment to our certificate of incorporation to increase the number of authorized shares of our common stock from 250,000,000 to 275,000,000, as described in Proposal Three of the Proxy Statement, FOR the approval of the 2026 Equity Incentive Plan, as described in Proposal Four of the Proxy Statement, FOR the approval of the 2026 Employee Stock Purchase Plan, as described in Proposal Five of the Proxy Statement, and FOR the approval of the adjournment or postponement of the Special Meeting, if necessary, to continue to solicit votes for Proposals Nos. 1, 2 and/or 3, as described in Proposal Six of the Proxy Statement. 1.1 (Continued and to be signed on the reverse side) 14475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116</Pages>
  <Words>66008</Words>
  <Characters>344974</Characters>
  <CharactersWithSpaces>412261</CharactersWithSpaces>
  <Paragraphs>3869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