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9629ds8.htm"/>
      <w:bookmarkStart w:id="1" w:name="ksd139629ds8"/>
      <w:bookmarkEnd w:id="0"/>
      <w:bookmarkEnd w:id="1"/>
      <w:r>
        <w:rPr>
          <w:rFonts w:ascii="Times New Roman" w:hAnsi="Times New Roman"/>
          <w:b/>
          <w:sz w:val="20"/>
        </w:rPr>
        <w:t xml:space="preserve">As filed with the Securities and Exchange Commission on October 8,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90-1024039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611 Gateway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2026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Orphai Therapeutics Inc. 2026 Stock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Orphai Therapeutics Inc. 2013 Employee, Director and Consultant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Brigette Roberts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611 Gateway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Suite 273 </w:t>
      </w:r>
    </w:p>
    <w:p>
      <w:pPr>
        <w:pStyle w:val="TextBody"/>
        <w:bidi w:val="0"/>
        <w:spacing w:before="0" w:after="0"/>
        <w:jc w:val="center"/>
        <w:rPr>
          <w:rFonts w:ascii="Times New Roman" w:hAnsi="Times New Roman"/>
          <w:b/>
          <w:sz w:val="20"/>
        </w:rPr>
      </w:pPr>
      <w:r>
        <w:rPr>
          <w:rFonts w:ascii="Times New Roman" w:hAnsi="Times New Roman"/>
          <w:b/>
          <w:sz w:val="20"/>
        </w:rPr>
        <w:t xml:space="preserve">South San Francisco, California </w:t>
      </w:r>
    </w:p>
    <w:p>
      <w:pPr>
        <w:pStyle w:val="TextBody"/>
        <w:bidi w:val="0"/>
        <w:spacing w:before="0" w:after="0"/>
        <w:jc w:val="center"/>
        <w:rPr>
          <w:rFonts w:ascii="Times New Roman" w:hAnsi="Times New Roman"/>
          <w:b/>
          <w:sz w:val="20"/>
        </w:rPr>
      </w:pPr>
      <w:r>
        <w:rPr>
          <w:rFonts w:ascii="Times New Roman" w:hAnsi="Times New Roman"/>
          <w:b/>
          <w:sz w:val="20"/>
        </w:rPr>
        <w:t xml:space="preserve">(415) 910-5717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(Telephone number, including area code, of agent for service) </w:t>
      </w:r>
    </w:p>
    <w:p>
      <w:pPr>
        <w:pStyle w:val="TextBody"/>
        <w:bidi w:val="0"/>
        <w:spacing w:before="240" w:after="0"/>
        <w:jc w:val="center"/>
        <w:rPr>
          <w:rFonts w:ascii="Times New Roman" w:hAnsi="Times New Roman"/>
          <w:b/>
          <w:i/>
          <w:sz w:val="20"/>
        </w:rPr>
      </w:pPr>
      <w:r>
        <w:rPr>
          <w:rFonts w:ascii="Times New Roman" w:hAnsi="Times New Roman"/>
          <w:b/>
          <w:i/>
          <w:sz w:val="20"/>
        </w:rPr>
        <w:t>Copies to:</w:t>
      </w:r>
    </w:p>
    <w:p>
      <w:pPr>
        <w:pStyle w:val="TextBody"/>
        <w:bidi w:val="0"/>
        <w:spacing w:before="120" w:after="0"/>
        <w:jc w:val="center"/>
        <w:rPr>
          <w:rFonts w:ascii="Times New Roman" w:hAnsi="Times New Roman"/>
          <w:b/>
          <w:sz w:val="20"/>
        </w:rPr>
      </w:pPr>
      <w:r>
        <w:rPr>
          <w:rFonts w:ascii="Times New Roman" w:hAnsi="Times New Roman"/>
          <w:b/>
          <w:sz w:val="20"/>
        </w:rPr>
        <w:t xml:space="preserve">Madison A. Jones </w:t>
      </w:r>
    </w:p>
    <w:p>
      <w:pPr>
        <w:pStyle w:val="TextBody"/>
        <w:bidi w:val="0"/>
        <w:spacing w:before="0" w:after="0"/>
        <w:jc w:val="center"/>
        <w:rPr>
          <w:rFonts w:ascii="Times New Roman" w:hAnsi="Times New Roman"/>
          <w:b/>
          <w:sz w:val="20"/>
        </w:rPr>
      </w:pPr>
      <w:r>
        <w:rPr>
          <w:rFonts w:ascii="Times New Roman" w:hAnsi="Times New Roman"/>
          <w:b/>
          <w:sz w:val="20"/>
        </w:rPr>
        <w:t xml:space="preserve">Cooley LLP </w:t>
      </w:r>
    </w:p>
    <w:p>
      <w:pPr>
        <w:pStyle w:val="TextBody"/>
        <w:bidi w:val="0"/>
        <w:spacing w:before="0" w:after="0"/>
        <w:jc w:val="center"/>
        <w:rPr>
          <w:rFonts w:ascii="Times New Roman" w:hAnsi="Times New Roman"/>
          <w:b/>
          <w:sz w:val="20"/>
        </w:rPr>
      </w:pPr>
      <w:r>
        <w:rPr>
          <w:rFonts w:ascii="Times New Roman" w:hAnsi="Times New Roman"/>
          <w:b/>
          <w:sz w:val="20"/>
        </w:rPr>
        <w:t xml:space="preserve">1299 Pennsylvania Ave. NW </w:t>
      </w:r>
    </w:p>
    <w:p>
      <w:pPr>
        <w:pStyle w:val="TextBody"/>
        <w:bidi w:val="0"/>
        <w:spacing w:before="0" w:after="0"/>
        <w:jc w:val="center"/>
        <w:rPr>
          <w:rFonts w:ascii="Times New Roman" w:hAnsi="Times New Roman"/>
          <w:b/>
          <w:sz w:val="20"/>
        </w:rPr>
      </w:pPr>
      <w:r>
        <w:rPr>
          <w:rFonts w:ascii="Times New Roman" w:hAnsi="Times New Roman"/>
          <w:b/>
          <w:sz w:val="20"/>
        </w:rPr>
        <w:t xml:space="preserve">Suite 700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20004-2400 </w:t>
      </w:r>
    </w:p>
    <w:p>
      <w:pPr>
        <w:pStyle w:val="TextBody"/>
        <w:bidi w:val="0"/>
        <w:spacing w:before="0" w:after="0"/>
        <w:jc w:val="center"/>
        <w:rPr>
          <w:rFonts w:ascii="Times New Roman" w:hAnsi="Times New Roman"/>
          <w:b/>
          <w:sz w:val="20"/>
        </w:rPr>
      </w:pPr>
      <w:r>
        <w:rPr>
          <w:rFonts w:ascii="Times New Roman" w:hAnsi="Times New Roman"/>
          <w:b/>
          <w:sz w:val="20"/>
        </w:rPr>
        <w:t>(202) 842-7800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Agreement and Plan of Merger, dated as of May 17, 2026 (the “Merger Agreement”), by and among Quince Therapeutics, Inc. (the “Registrant”), Phoenix Merger Sub I, Inc., a Delaware corporation and wholly owned subsidiary of the Registrant (“First Merger Sub”), Phoenix Merger Sub II, LLC, a Delaware limited liability company and wholly owned subsidiary of the Registrant (“Second Merger Sub”), Orphai Holdings Therapeutics, Inc., a Delaware corporation (“Orphai HoldCo”) and Orphai Therapeutics, LLC, a Delaware limited liability company and wholly owned subsidiary of HoldCo (formerly known as Orphai Therapeutics Inc., “Orphai Subsidiary”), on May 18, 2026 (the “Closing Date”), First Merger Sub merged with and into HoldCo, pursuant to which HoldCo was the surviving corporation and became a wholly owned subsidiary of the Registrant (the “First Merger”). Immediately following the First Merger, HoldCo merged with and into Second Merger Sub, pursuant to which Second Merger Sub was the surviving entity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Merger Agreement, upon the effective time of the Merger (the “Effective Time”), each outstanding and unexercised stock option to purchase shares of common stock of HoldCo (each, an “Orphai Option”), whether vested or unvested, that was granted under the Orphai Therapeutics Inc. 2013 Employee, Director and Consultant Equity Incentive Plan (the “2013 Orphai Plan”) and the Orphai Therapeutics Inc. 2026 Equity Incentive Plan (the “2026 Orphai Plan” and, together with the 2013 Orphai Plan, the “Orphai Plans”) was assumed by the Registrant and converted into a stock option to purchase shares of common stock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is filing this Registration Statement on Form S-8 (this “Registration Statement”) for the purpose of registering: (i) 2,199,717 shares of common stock of the Registrant reserved for issuance under the Registrant’s 2026 Equity Incentive Plan (the “2026 EIP”), representing (a) the initial share reserve under the 2026 EIP of 821,872 shares of common stock, plus up to (b) 1,377,845 shares of common stock subject to outstanding stock awards granted under the Quince Therapeutics, Inc. 2019 Equity Incentive Plan, the Novosteo Inc. 2019 Equity Incentive Plan, the Quince Therapeutics, Inc. 2022 Inducement Plan, the Orphai Therapeutics Inc. 2026 Stock Incentive Plan and the Orphai Therapeutics Inc. 2013 Employee, Director and Consultant Equity Incentive Plan (each as may be amended from time to time, collectively, the “Prior Plans”) (including, but not limited to, outstanding Orphai Options) that, after the date the 2026 EIP became effective, are not issued because a stock award expires or otherwise terminates without all of the shares covered by the award having been issued; are not issued because the stock award is settled in cash; are forfeited or repurchased because of the failure to vest; or are reacquired or withheld to satisfy a tax withholding obligation or the purchase or exercise price (the shares described in clause (b), the “Returning Shares”); (ii) 142,045 shares of common stock of the Registrant reserved for issuance under the Registrant’s 2026 Employee Stock Purchase Plan (the “2026 ESPP”), representing the initial share reserve under the 2026 ESPP; and (iii) 1,245,788 shares of common stock of the Registrant issuable upon exercise of outstanding Orphai Options granted under the Orphai Plans and assumed by the Registrant in connection with the Merger; provided, however, that the shares described in clause (iii) are included in the maximum number of Returning Shares described in clause (i)(b) solely to the extent they become Returning Shares and are not additional shares being registered hereby. </w:t>
      </w:r>
    </w:p>
    <w:p>
      <w:pPr>
        <w:pStyle w:val="TextBody"/>
        <w:bidi w:val="0"/>
        <w:spacing w:before="24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PLAN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required to be filed with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REGISTRANT INFORMATION AND EMPLOYEE PLAN ANNUAL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required to be filed with this Registration Statement.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into this Registration Statement the following documents previously filed by the Registrant with the Securities and Exchange Commission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2025, filed with the SEC on </w:t>
            </w:r>
            <w:hyperlink r:id="rId2">
              <w:r>
                <w:rPr>
                  <w:rStyle w:val="InternetLink"/>
                  <w:rFonts w:ascii="Times New Roman" w:hAnsi="Times New Roman"/>
                  <w:sz w:val="20"/>
                </w:rPr>
                <w:t>April 10,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pPr>
            <w:r>
              <w:rPr>
                <w:rFonts w:ascii="Times New Roman" w:hAnsi="Times New Roman"/>
                <w:sz w:val="20"/>
              </w:rPr>
              <w:t xml:space="preserve">Definitive Proxy Statement on Schedule 14A for our 2026 Annual Meeting of Stockholders filed with the SEC on </w:t>
            </w:r>
            <w:hyperlink r:id="rId3">
              <w:r>
                <w:rPr>
                  <w:rStyle w:val="InternetLink"/>
                  <w:rFonts w:ascii="Times New Roman" w:hAnsi="Times New Roman"/>
                  <w:sz w:val="20"/>
                </w:rPr>
                <w:t xml:space="preserve">April  27, 2026 </w:t>
              </w:r>
            </w:hyperlink>
            <w:r>
              <w:rPr>
                <w:rFonts w:ascii="Times New Roman" w:hAnsi="Times New Roman"/>
                <w:sz w:val="20"/>
              </w:rPr>
              <w:t xml:space="preserve">(except for information contained therein which is furnished rather than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pPr>
            <w:r>
              <w:rPr>
                <w:rFonts w:ascii="Times New Roman" w:hAnsi="Times New Roman"/>
                <w:sz w:val="20"/>
              </w:rPr>
              <w:t xml:space="preserve">Quarterly Reports on Form 10-Q for the quarters ended March 31, 2026 and June 30, 2026, filed with the SEC on </w:t>
            </w:r>
            <w:hyperlink r:id="rId4">
              <w:r>
                <w:rPr>
                  <w:rStyle w:val="InternetLink"/>
                  <w:rFonts w:ascii="Times New Roman" w:hAnsi="Times New Roman"/>
                  <w:sz w:val="20"/>
                </w:rPr>
                <w:t xml:space="preserve">May  11, 2026 </w:t>
              </w:r>
            </w:hyperlink>
            <w:r>
              <w:rPr>
                <w:rFonts w:ascii="Times New Roman" w:hAnsi="Times New Roman"/>
                <w:sz w:val="20"/>
              </w:rPr>
              <w:t xml:space="preserve">and </w:t>
            </w:r>
            <w:hyperlink r:id="rId5">
              <w:r>
                <w:rPr>
                  <w:rStyle w:val="InternetLink"/>
                  <w:rFonts w:ascii="Times New Roman" w:hAnsi="Times New Roman"/>
                  <w:sz w:val="20"/>
                </w:rPr>
                <w:t>August 14,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pPr>
            <w:r>
              <w:rPr>
                <w:rFonts w:ascii="Times New Roman" w:hAnsi="Times New Roman"/>
                <w:sz w:val="20"/>
              </w:rPr>
              <w:t xml:space="preserve">Current Reports on Form 8-K (except for information contained therein which is furnished rather than filed) filed on </w:t>
            </w:r>
            <w:hyperlink r:id="rId6">
              <w:r>
                <w:rPr>
                  <w:rStyle w:val="InternetLink"/>
                  <w:rFonts w:ascii="Times New Roman" w:hAnsi="Times New Roman"/>
                  <w:sz w:val="20"/>
                </w:rPr>
                <w:t>January  29, 2026</w:t>
              </w:r>
            </w:hyperlink>
            <w:r>
              <w:rPr>
                <w:rFonts w:ascii="Times New Roman" w:hAnsi="Times New Roman"/>
                <w:sz w:val="20"/>
              </w:rPr>
              <w:t xml:space="preserve">, </w:t>
            </w:r>
            <w:hyperlink r:id="rId7">
              <w:r>
                <w:rPr>
                  <w:rStyle w:val="InternetLink"/>
                  <w:rFonts w:ascii="Times New Roman" w:hAnsi="Times New Roman"/>
                  <w:sz w:val="20"/>
                </w:rPr>
                <w:t>February  2, 2026</w:t>
              </w:r>
            </w:hyperlink>
            <w:r>
              <w:rPr>
                <w:rFonts w:ascii="Times New Roman" w:hAnsi="Times New Roman"/>
                <w:sz w:val="20"/>
              </w:rPr>
              <w:t xml:space="preserve">, </w:t>
            </w:r>
            <w:hyperlink r:id="rId8">
              <w:r>
                <w:rPr>
                  <w:rStyle w:val="InternetLink"/>
                  <w:rFonts w:ascii="Times New Roman" w:hAnsi="Times New Roman"/>
                  <w:sz w:val="20"/>
                </w:rPr>
                <w:t>February  12, 2026</w:t>
              </w:r>
            </w:hyperlink>
            <w:r>
              <w:rPr>
                <w:rFonts w:ascii="Times New Roman" w:hAnsi="Times New Roman"/>
                <w:sz w:val="20"/>
              </w:rPr>
              <w:t xml:space="preserve">, </w:t>
            </w:r>
            <w:hyperlink r:id="rId9">
              <w:r>
                <w:rPr>
                  <w:rStyle w:val="InternetLink"/>
                  <w:rFonts w:ascii="Times New Roman" w:hAnsi="Times New Roman"/>
                  <w:sz w:val="20"/>
                </w:rPr>
                <w:t>March  20, 2026</w:t>
              </w:r>
            </w:hyperlink>
            <w:r>
              <w:rPr>
                <w:rFonts w:ascii="Times New Roman" w:hAnsi="Times New Roman"/>
                <w:sz w:val="20"/>
              </w:rPr>
              <w:t xml:space="preserve">, </w:t>
            </w:r>
            <w:hyperlink r:id="rId10">
              <w:r>
                <w:rPr>
                  <w:rStyle w:val="InternetLink"/>
                  <w:rFonts w:ascii="Times New Roman" w:hAnsi="Times New Roman"/>
                  <w:sz w:val="20"/>
                </w:rPr>
                <w:t>March  30, 2026</w:t>
              </w:r>
            </w:hyperlink>
            <w:r>
              <w:rPr>
                <w:rFonts w:ascii="Times New Roman" w:hAnsi="Times New Roman"/>
                <w:sz w:val="20"/>
              </w:rPr>
              <w:t xml:space="preserve">, </w:t>
            </w:r>
            <w:hyperlink r:id="rId11">
              <w:r>
                <w:rPr>
                  <w:rStyle w:val="InternetLink"/>
                  <w:rFonts w:ascii="Times New Roman" w:hAnsi="Times New Roman"/>
                  <w:sz w:val="20"/>
                </w:rPr>
                <w:t>April  9, 2026</w:t>
              </w:r>
            </w:hyperlink>
            <w:r>
              <w:rPr>
                <w:rFonts w:ascii="Times New Roman" w:hAnsi="Times New Roman"/>
                <w:sz w:val="20"/>
              </w:rPr>
              <w:t xml:space="preserve">, </w:t>
            </w:r>
            <w:hyperlink r:id="rId12">
              <w:r>
                <w:rPr>
                  <w:rStyle w:val="InternetLink"/>
                  <w:rFonts w:ascii="Times New Roman" w:hAnsi="Times New Roman"/>
                  <w:sz w:val="20"/>
                </w:rPr>
                <w:t>April  22, 2026</w:t>
              </w:r>
            </w:hyperlink>
            <w:r>
              <w:rPr>
                <w:rFonts w:ascii="Times New Roman" w:hAnsi="Times New Roman"/>
                <w:sz w:val="20"/>
              </w:rPr>
              <w:t xml:space="preserve">, </w:t>
            </w:r>
            <w:hyperlink r:id="rId13">
              <w:r>
                <w:rPr>
                  <w:rStyle w:val="InternetLink"/>
                  <w:rFonts w:ascii="Times New Roman" w:hAnsi="Times New Roman"/>
                  <w:sz w:val="20"/>
                </w:rPr>
                <w:t>April  28, 2026</w:t>
              </w:r>
            </w:hyperlink>
            <w:r>
              <w:rPr>
                <w:rFonts w:ascii="Times New Roman" w:hAnsi="Times New Roman"/>
                <w:sz w:val="20"/>
              </w:rPr>
              <w:t xml:space="preserve">, </w:t>
            </w:r>
            <w:hyperlink r:id="rId14">
              <w:r>
                <w:rPr>
                  <w:rStyle w:val="InternetLink"/>
                  <w:rFonts w:ascii="Times New Roman" w:hAnsi="Times New Roman"/>
                  <w:sz w:val="20"/>
                </w:rPr>
                <w:t>May  18, 2026</w:t>
              </w:r>
            </w:hyperlink>
            <w:r>
              <w:rPr>
                <w:rFonts w:ascii="Times New Roman" w:hAnsi="Times New Roman"/>
                <w:sz w:val="20"/>
              </w:rPr>
              <w:t xml:space="preserve"> (as amended on </w:t>
            </w:r>
            <w:hyperlink r:id="rId15">
              <w:r>
                <w:rPr>
                  <w:rStyle w:val="InternetLink"/>
                  <w:rFonts w:ascii="Times New Roman" w:hAnsi="Times New Roman"/>
                  <w:sz w:val="20"/>
                </w:rPr>
                <w:t>May  18, 2026</w:t>
              </w:r>
            </w:hyperlink>
            <w:r>
              <w:rPr>
                <w:rFonts w:ascii="Times New Roman" w:hAnsi="Times New Roman"/>
                <w:sz w:val="20"/>
              </w:rPr>
              <w:t xml:space="preserve"> and </w:t>
            </w:r>
            <w:hyperlink r:id="rId16">
              <w:r>
                <w:rPr>
                  <w:rStyle w:val="InternetLink"/>
                  <w:rFonts w:ascii="Times New Roman" w:hAnsi="Times New Roman"/>
                  <w:sz w:val="20"/>
                </w:rPr>
                <w:t>July  30, 2026</w:t>
              </w:r>
            </w:hyperlink>
            <w:r>
              <w:rPr>
                <w:rFonts w:ascii="Times New Roman" w:hAnsi="Times New Roman"/>
                <w:sz w:val="20"/>
              </w:rPr>
              <w:t xml:space="preserve">), </w:t>
            </w:r>
            <w:hyperlink r:id="rId17">
              <w:r>
                <w:rPr>
                  <w:rStyle w:val="InternetLink"/>
                  <w:rFonts w:ascii="Times New Roman" w:hAnsi="Times New Roman"/>
                  <w:sz w:val="20"/>
                </w:rPr>
                <w:t>May  21, 2026</w:t>
              </w:r>
            </w:hyperlink>
            <w:r>
              <w:rPr>
                <w:rFonts w:ascii="Times New Roman" w:hAnsi="Times New Roman"/>
                <w:sz w:val="20"/>
              </w:rPr>
              <w:t xml:space="preserve">, </w:t>
            </w:r>
            <w:hyperlink r:id="rId18">
              <w:r>
                <w:rPr>
                  <w:rStyle w:val="InternetLink"/>
                  <w:rFonts w:ascii="Times New Roman" w:hAnsi="Times New Roman"/>
                  <w:sz w:val="20"/>
                </w:rPr>
                <w:t>June  11, 2026</w:t>
              </w:r>
            </w:hyperlink>
            <w:r>
              <w:rPr>
                <w:rFonts w:ascii="Times New Roman" w:hAnsi="Times New Roman"/>
                <w:sz w:val="20"/>
              </w:rPr>
              <w:t xml:space="preserve">, </w:t>
            </w:r>
            <w:hyperlink r:id="rId19">
              <w:r>
                <w:rPr>
                  <w:rStyle w:val="InternetLink"/>
                  <w:rFonts w:ascii="Times New Roman" w:hAnsi="Times New Roman"/>
                  <w:sz w:val="20"/>
                </w:rPr>
                <w:t>June  26, 2026</w:t>
              </w:r>
            </w:hyperlink>
            <w:r>
              <w:rPr>
                <w:rFonts w:ascii="Times New Roman" w:hAnsi="Times New Roman"/>
                <w:sz w:val="20"/>
              </w:rPr>
              <w:t xml:space="preserve"> (as amended on </w:t>
            </w:r>
            <w:hyperlink r:id="rId20">
              <w:r>
                <w:rPr>
                  <w:rStyle w:val="InternetLink"/>
                  <w:rFonts w:ascii="Times New Roman" w:hAnsi="Times New Roman"/>
                  <w:sz w:val="20"/>
                </w:rPr>
                <w:t>June  26, 2026</w:t>
              </w:r>
            </w:hyperlink>
            <w:r>
              <w:rPr>
                <w:rFonts w:ascii="Times New Roman" w:hAnsi="Times New Roman"/>
                <w:sz w:val="20"/>
              </w:rPr>
              <w:t xml:space="preserve">), </w:t>
            </w:r>
            <w:hyperlink r:id="rId21">
              <w:r>
                <w:rPr>
                  <w:rStyle w:val="InternetLink"/>
                  <w:rFonts w:ascii="Times New Roman" w:hAnsi="Times New Roman"/>
                  <w:sz w:val="20"/>
                </w:rPr>
                <w:t>July  31, 2026</w:t>
              </w:r>
            </w:hyperlink>
            <w:r>
              <w:rPr>
                <w:rFonts w:ascii="Times New Roman" w:hAnsi="Times New Roman"/>
                <w:sz w:val="20"/>
              </w:rPr>
              <w:t xml:space="preserve">, </w:t>
            </w:r>
            <w:hyperlink r:id="rId22">
              <w:r>
                <w:rPr>
                  <w:rStyle w:val="InternetLink"/>
                  <w:rFonts w:ascii="Times New Roman" w:hAnsi="Times New Roman"/>
                  <w:sz w:val="20"/>
                </w:rPr>
                <w:t>August  17, 2026</w:t>
              </w:r>
            </w:hyperlink>
            <w:r>
              <w:rPr>
                <w:rFonts w:ascii="Times New Roman" w:hAnsi="Times New Roman"/>
                <w:sz w:val="20"/>
              </w:rPr>
              <w:t xml:space="preserve">, </w:t>
            </w:r>
            <w:hyperlink r:id="rId23">
              <w:r>
                <w:rPr>
                  <w:rStyle w:val="InternetLink"/>
                  <w:rFonts w:ascii="Times New Roman" w:hAnsi="Times New Roman"/>
                  <w:sz w:val="20"/>
                </w:rPr>
                <w:t>August  27, 2026</w:t>
              </w:r>
            </w:hyperlink>
            <w:r>
              <w:rPr>
                <w:rFonts w:ascii="Times New Roman" w:hAnsi="Times New Roman"/>
                <w:sz w:val="20"/>
              </w:rPr>
              <w:t xml:space="preserve">, </w:t>
            </w:r>
            <w:hyperlink r:id="rId24">
              <w:r>
                <w:rPr>
                  <w:rStyle w:val="InternetLink"/>
                  <w:rFonts w:ascii="Times New Roman" w:hAnsi="Times New Roman"/>
                  <w:sz w:val="20"/>
                </w:rPr>
                <w:t>September  4, 2026</w:t>
              </w:r>
            </w:hyperlink>
            <w:r>
              <w:rPr>
                <w:rFonts w:ascii="Times New Roman" w:hAnsi="Times New Roman"/>
                <w:sz w:val="20"/>
              </w:rPr>
              <w:t xml:space="preserve">, </w:t>
            </w:r>
            <w:hyperlink r:id="rId25">
              <w:r>
                <w:rPr>
                  <w:rStyle w:val="InternetLink"/>
                  <w:rFonts w:ascii="Times New Roman" w:hAnsi="Times New Roman"/>
                  <w:sz w:val="20"/>
                </w:rPr>
                <w:t>September  14, 2026</w:t>
              </w:r>
            </w:hyperlink>
            <w:r>
              <w:rPr>
                <w:rFonts w:ascii="Times New Roman" w:hAnsi="Times New Roman"/>
                <w:sz w:val="20"/>
              </w:rPr>
              <w:t xml:space="preserve">, </w:t>
            </w:r>
            <w:hyperlink r:id="rId26">
              <w:r>
                <w:rPr>
                  <w:rStyle w:val="InternetLink"/>
                  <w:rFonts w:ascii="Times New Roman" w:hAnsi="Times New Roman"/>
                  <w:sz w:val="20"/>
                </w:rPr>
                <w:t>October  2, 2026</w:t>
              </w:r>
            </w:hyperlink>
            <w:r>
              <w:rPr>
                <w:rFonts w:ascii="Times New Roman" w:hAnsi="Times New Roman"/>
                <w:sz w:val="20"/>
              </w:rPr>
              <w:t xml:space="preserve"> and </w:t>
            </w:r>
            <w:hyperlink r:id="rId27">
              <w:r>
                <w:rPr>
                  <w:rStyle w:val="InternetLink"/>
                  <w:rFonts w:ascii="Times New Roman" w:hAnsi="Times New Roman"/>
                  <w:sz w:val="20"/>
                </w:rPr>
                <w:t>October 6, 2026</w:t>
              </w:r>
            </w:hyperlink>
            <w:r>
              <w:rPr>
                <w:rFonts w:ascii="Times New Roman" w:hAnsi="Times New Roman"/>
                <w:sz w:val="20"/>
              </w:rPr>
              <w:t xml:space="preserve"> (except that, with respect to the foregoing Current Reports, any portions thereof that were furnished and not filed shall not be deemed incorporated by reference);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pPr>
            <w:r>
              <w:rPr>
                <w:rFonts w:ascii="Times New Roman" w:hAnsi="Times New Roman"/>
                <w:sz w:val="20"/>
              </w:rPr>
              <w:t xml:space="preserve">the description of the Registrant’s common stock which is registered under Section 12 of the Exchange Act, described in </w:t>
            </w:r>
            <w:hyperlink r:id="rId28">
              <w:r>
                <w:rPr>
                  <w:rStyle w:val="InternetLink"/>
                  <w:rFonts w:ascii="Times New Roman" w:hAnsi="Times New Roman"/>
                  <w:sz w:val="20"/>
                </w:rPr>
                <w:t>Exhibit 4.2</w:t>
              </w:r>
            </w:hyperlink>
            <w:r>
              <w:rPr>
                <w:rFonts w:ascii="Times New Roman" w:hAnsi="Times New Roman"/>
                <w:sz w:val="20"/>
              </w:rPr>
              <w:t xml:space="preserve"> to the Registrant’s Annual Report for the fiscal year ended December 31, 2025, filed with the SEC on April 10, 2026,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SEC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4.</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INTERESTS OF NAMED EXPERTS AND COUNSEL.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will enter into indemnification agreements with each of its current directors and executive officers. These agreements will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 The Registrant also intends to enter into indemnification agreements with its future directors and executive officers.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Delaware General Corporation Law provides that Section 145 is not exclusive of other rights to which those seeking indemnification may be entitled under any bylaw, agreement, vote of stockholders or disinterested directors or otherwise. The Registrant’s amended and restated bylaws provide for indemnification by the Registrant of its directors, officers and employees to the fullest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for (i) any breach of the director’s duty of loyalty to the corporation or its stockholders, (ii) acts or omissions not in good faith or which involve intentional misconduct or a knowing violation of law, (iii) payments of unlawful dividends or unlawful stock repurchases or redemptions, or (iv) any transaction from which the director derived an improper personal benefit. The Registrant’s amended and restated certificate of incorporation provides that the liability of the Registrant’s directors for monetary damages shall be eliminated to the fullest extent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maintains insurance policies that indemnify its directors and officers against various liabilities arising under the Securities Act and the Exchange Act that might be incurred by any director or officer in his capacity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 FROM REGISTRATION CLAIMED.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
        <w:gridCol w:w="415"/>
        <w:gridCol w:w="9106"/>
      </w:tblGrid>
      <w:tr>
        <w:trPr/>
        <w:tc>
          <w:tcPr>
            <w:tcW w:w="684"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684"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415" w:type="dxa"/>
            <w:tcBorders/>
            <w:vAlign w:val="bottom"/>
          </w:tcPr>
          <w:p>
            <w:pPr>
              <w:pStyle w:val="TableContents"/>
              <w:bidi w:val="0"/>
              <w:spacing w:before="0" w:after="283"/>
              <w:jc w:val="left"/>
              <w:rPr/>
            </w:pPr>
            <w:r>
              <w:rPr/>
              <w:t>  </w:t>
            </w:r>
          </w:p>
        </w:tc>
        <w:tc>
          <w:tcPr>
            <w:tcW w:w="91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29">
              <w:r>
                <w:rPr>
                  <w:rStyle w:val="InternetLink"/>
                </w:rPr>
                <w:t>Agreement and Plan of Merger, dated as of May  17, 2026, by and among Quince Therapeutics, Inc., Phoenix Merger Sub I, Inc., Phoenix Merger Sub II, LLC, Orphai Therapeutics, LLC and Orphai Holdings Therapeutics, Inc. (incorporated by reference to Exhibit 2.1 to the Registrant’s Current Report on Form 8-K (File No. 001-38890), filed with the SEC on May 18,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0">
              <w:r>
                <w:rPr>
                  <w:rStyle w:val="InternetLink"/>
                </w:rPr>
                <w:t>Amended and Restated Certificate of Incorporation of the Registrant (incorporated by reference to Exhibit 3.1 to the Registrant’s Registration Statement on Form S-1/A (File No. 333-230643), filed with the SEC on May 1, 2019).</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3.2</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1">
              <w:r>
                <w:rPr>
                  <w:rStyle w:val="InternetLink"/>
                </w:rPr>
                <w:t>Certificate of Amendment to the Amended and Restated Certificate of Incorporation of the Registrant (incorporated by reference to Exhibit 3.1 to the Registrant’s Current Report on Form 8-K (File No. 001-38890), filed with the SEC on August 1, 2022).</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3.3</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2">
              <w:r>
                <w:rPr>
                  <w:rStyle w:val="InternetLink"/>
                </w:rPr>
                <w:t>Certificate of Amendment to the Amended and Restated Certificate of Incorporation of the Registrant (incorporated by reference to Exhibit 3.1 to the Registrant’s Current Report on Form 8-K (File No. 001-38890), filed with the SEC on April 9,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3.4</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3">
              <w:r>
                <w:rPr>
                  <w:rStyle w:val="InternetLink"/>
                </w:rPr>
                <w:t>Certificate of Amendment to the Amended and Restated Certificate of Incorporation of the Registrant (incorporated by reference to Exhibit 3.1 to the Registrant’s Current Report on Form 8-K (File No. 001-38890), filed with the SEC on June 26,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3.5</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4">
              <w:r>
                <w:rPr>
                  <w:rStyle w:val="InternetLink"/>
                </w:rPr>
                <w:t>Amended and Restated Bylaws of the Registrant (incorporated by reference to Exhibit 3.2 to the Registrant’s Registration Statement on Form S-1/A (File No. 333-230643), filed with the SEC on May 1, 2019).</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3.6</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5">
              <w:r>
                <w:rPr>
                  <w:rStyle w:val="InternetLink"/>
                </w:rPr>
                <w:t>Amendment to the Amended and Restated Bylaws of the Registrant (incorporated by reference to Exhibit 3.4 to the Registrant’s Annual Report on Form 10-K (File No. 001-38890), filed with the SEC on April 10,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3.7</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6">
              <w:r>
                <w:rPr>
                  <w:rStyle w:val="InternetLink"/>
                </w:rPr>
                <w:t>Certificate of Designation of Preferences, Rights and Limitations of Series C Non-Voting Convertible Preferred Stock of the Registrant (incorporated by reference to Exhibit 3.1 to the Registrant’s Current Report on Form 8-K (File No. 001-38890), filed with the SEC on May 18,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5.1*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51.htm">
              <w:r>
                <w:rPr>
                  <w:rStyle w:val="InternetLink"/>
                </w:rPr>
                <w:t xml:space="preserve">Opinion of Cooley LLP.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23.1*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231.htm">
              <w:r>
                <w:rPr>
                  <w:rStyle w:val="InternetLink"/>
                </w:rPr>
                <w:t xml:space="preserve">Consent of BDO USA, P.C., Independent Registered Public Accounting Firm.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23.2*</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232.htm">
              <w:r>
                <w:rPr>
                  <w:rStyle w:val="InternetLink"/>
                </w:rPr>
                <w:t xml:space="preserve">Consent of Deloitte &amp; Touche LLP, Independent Registered Public Accounting Firm.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23.3*</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51.htm">
              <w:r>
                <w:rPr>
                  <w:rStyle w:val="InternetLink"/>
                </w:rPr>
                <w:t xml:space="preserve">Consent of Cooley LLP (included in Exhibit 5.1.)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24.1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sig">
              <w:r>
                <w:rPr>
                  <w:rStyle w:val="InternetLink"/>
                </w:rPr>
                <w:t xml:space="preserve">Power of Attorney (included on the signature page of this Form S-8.)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107*</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filingfees.htm">
              <w:r>
                <w:rPr>
                  <w:rStyle w:val="InternetLink"/>
                </w:rPr>
                <w:t xml:space="preserve">Filing Fee Table. </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99.1#</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7">
              <w:r>
                <w:rPr>
                  <w:rStyle w:val="InternetLink"/>
                </w:rPr>
                <w:t>Quince Therapeutics, Inc. 2026 Equity Incentive Plan (incorporated by reference to Exhibit 10.1 to the Registrant’s Current Report on Form 8-K (File No. 001-38890), filed with the SEC on October 6,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99.2#</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8">
              <w:r>
                <w:rPr>
                  <w:rStyle w:val="InternetLink"/>
                </w:rPr>
                <w:t>Forms of Option Award Notice, Option Agreement and Notice of Exercise under the Registrant’s 2026 Equity Incentive Plan (incorporated by reference to Exhibit 10.1 to the Registrant’s Current Report on Form 8-K (File No. 001-38890), filed with the SEC on October 6,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99.3#</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39">
              <w:r>
                <w:rPr>
                  <w:rStyle w:val="InternetLink"/>
                </w:rPr>
                <w:t>Forms of Restricted Stock Unit Grant Notice and Unit Award Agreement under the Registrant’s 2026 Equity Incentive Plan (incorporated by reference to Exhibit 10.1 to the Registrant’s Current Report on Form 8-K (File No. 001-38890), filed with the SEC on October 6,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99.4#</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40">
              <w:r>
                <w:rPr>
                  <w:rStyle w:val="InternetLink"/>
                </w:rPr>
                <w:t>Quince Therapeutics, Inc. 2026 Employee Stock Purchase Plan (incorporated by reference to Exhibit 10.2 to the Registrant’s Current Report on Form 8-K (File No. 001-38890), filed with the SEC on October 6, 2026).</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99.5#*</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995.htm">
              <w:r>
                <w:rPr>
                  <w:rStyle w:val="InternetLink"/>
                </w:rPr>
                <w:t>Orphai Therapeutics Inc. 2013 Employee, Director and Consultant Equity Incentive Plan, as amended.</w:t>
              </w:r>
            </w:hyperlink>
          </w:p>
        </w:tc>
      </w:tr>
      <w:tr>
        <w:trPr>
          <w:trHeight w:val="120" w:hRule="atLeast"/>
        </w:trPr>
        <w:tc>
          <w:tcPr>
            <w:tcW w:w="684" w:type="dxa"/>
            <w:tcBorders/>
            <w:vAlign w:val="center"/>
          </w:tcPr>
          <w:p>
            <w:pPr>
              <w:pStyle w:val="TableContents"/>
              <w:bidi w:val="0"/>
              <w:spacing w:before="0" w:after="283"/>
              <w:jc w:val="left"/>
              <w:rPr>
                <w:sz w:val="4"/>
                <w:szCs w:val="4"/>
              </w:rPr>
            </w:pPr>
            <w:r>
              <w:rPr>
                <w:sz w:val="4"/>
                <w:szCs w:val="4"/>
              </w:rPr>
            </w:r>
          </w:p>
        </w:tc>
        <w:tc>
          <w:tcPr>
            <w:tcW w:w="9521"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99.6#*</w:t>
            </w:r>
          </w:p>
        </w:tc>
        <w:tc>
          <w:tcPr>
            <w:tcW w:w="415"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139629dex996.htm">
              <w:r>
                <w:rPr>
                  <w:rStyle w:val="InternetLink"/>
                </w:rPr>
                <w:t>Orphai Therapeutics Inc. 2026 Stock Incentive Plan, as amended.</w:t>
              </w:r>
            </w:hyperlink>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0"/>
        <w:gridCol w:w="9805"/>
      </w:tblGrid>
      <w:tr>
        <w:trPr/>
        <w:tc>
          <w:tcPr>
            <w:tcW w:w="400" w:type="dxa"/>
            <w:tcBorders/>
          </w:tcPr>
          <w:p>
            <w:pPr>
              <w:pStyle w:val="TableContents"/>
              <w:bidi w:val="0"/>
              <w:spacing w:before="0" w:after="283"/>
              <w:jc w:val="left"/>
              <w:rPr/>
            </w:pPr>
            <w:r>
              <w:rPr/>
              <w:t></w:t>
            </w:r>
          </w:p>
        </w:tc>
        <w:tc>
          <w:tcPr>
            <w:tcW w:w="98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annexes and attachments have been omitted pursuant to Item 601(a)(5) of Regulation S-K. The registrant agrees to provide, on a supplemental basis, a copy of any omitted schedules, annexes and attachments to the SEC or its staff upon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9.</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 on October 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QUINCE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 M.D.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Brigette Roberts, M.D.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Chief Executive Officer</w:t>
            </w:r>
          </w:p>
        </w:tc>
      </w:tr>
    </w:tbl>
    <w:p>
      <w:pPr>
        <w:pStyle w:val="TextBody"/>
        <w:bidi w:val="0"/>
        <w:spacing w:before="24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Brigette Roberts, M.D. and John Militello, as his or her true and lawful attorneys-in-fact, proxies and agents, each with full power of substitution and resubstitution, for him or her in his or her name, place and stead,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and generally to do all such things in his or her name and behalf in his or her capacity as officers and directors to enable the Registrant to comply with the provisions of the Securities Act and all requirements of the SEC,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2"/>
        <w:gridCol w:w="120"/>
        <w:gridCol w:w="5336"/>
        <w:gridCol w:w="120"/>
        <w:gridCol w:w="1747"/>
      </w:tblGrid>
      <w:tr>
        <w:trPr/>
        <w:tc>
          <w:tcPr>
            <w:tcW w:w="28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r>
      <w:tr>
        <w:trPr/>
        <w:tc>
          <w:tcPr>
            <w:tcW w:w="28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53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17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Brigette Roberts, M.D.</w:t>
            </w:r>
          </w:p>
          <w:p>
            <w:pPr>
              <w:pStyle w:val="TableContents"/>
              <w:bidi w:val="0"/>
              <w:spacing w:before="0" w:after="20"/>
              <w:jc w:val="center"/>
              <w:rPr>
                <w:rFonts w:ascii="Times New Roman" w:hAnsi="Times New Roman"/>
                <w:sz w:val="20"/>
              </w:rPr>
            </w:pPr>
            <w:r>
              <w:rPr>
                <w:rFonts w:ascii="Times New Roman" w:hAnsi="Times New Roman"/>
                <w:sz w:val="20"/>
              </w:rPr>
              <w:t>Brigette Roberts, M.D.</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center"/>
              <w:rPr/>
            </w:pPr>
            <w:r>
              <w:rPr/>
              <w:t>October 8, 2026</w:t>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bidi w:val="0"/>
              <w:spacing w:before="0" w:after="283"/>
              <w:jc w:val="center"/>
              <w:rPr/>
            </w:pPr>
            <w:r>
              <w:rPr/>
              <w:t>/s/ John Militello</w:t>
            </w:r>
          </w:p>
        </w:tc>
        <w:tc>
          <w:tcPr>
            <w:tcW w:w="120" w:type="dxa"/>
            <w:vMerge w:val="restart"/>
            <w:tcBorders/>
            <w:vAlign w:val="bottom"/>
          </w:tcPr>
          <w:p>
            <w:pPr>
              <w:pStyle w:val="TableContents"/>
              <w:bidi w:val="0"/>
              <w:spacing w:before="0" w:after="283"/>
              <w:jc w:val="left"/>
              <w:rPr/>
            </w:pPr>
            <w:r>
              <w:rPr/>
              <w:t>  </w:t>
            </w:r>
          </w:p>
        </w:tc>
        <w:tc>
          <w:tcPr>
            <w:tcW w:w="5336"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120" w:type="dxa"/>
            <w:vMerge w:val="restart"/>
            <w:tcBorders/>
            <w:vAlign w:val="bottom"/>
          </w:tcPr>
          <w:p>
            <w:pPr>
              <w:pStyle w:val="TableContents"/>
              <w:bidi w:val="0"/>
              <w:spacing w:before="0" w:after="283"/>
              <w:jc w:val="left"/>
              <w:rPr/>
            </w:pPr>
            <w:r>
              <w:rPr/>
              <w:t>  </w:t>
            </w:r>
          </w:p>
        </w:tc>
        <w:tc>
          <w:tcPr>
            <w:tcW w:w="1747" w:type="dxa"/>
            <w:vMerge w:val="restart"/>
            <w:tcBorders/>
          </w:tcPr>
          <w:p>
            <w:pPr>
              <w:pStyle w:val="TableContents"/>
              <w:bidi w:val="0"/>
              <w:spacing w:before="0" w:after="283"/>
              <w:jc w:val="center"/>
              <w:rPr/>
            </w:pPr>
            <w:r>
              <w:rPr/>
              <w:t>October 8, 2026</w:t>
            </w:r>
          </w:p>
        </w:tc>
      </w:tr>
      <w:tr>
        <w:trPr/>
        <w:tc>
          <w:tcPr>
            <w:tcW w:w="28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John Militello</w:t>
            </w:r>
          </w:p>
        </w:tc>
        <w:tc>
          <w:tcPr>
            <w:tcW w:w="120" w:type="dxa"/>
            <w:vMerge w:val="continue"/>
            <w:tcBorders/>
            <w:vAlign w:val="bottom"/>
          </w:tcPr>
          <w:p>
            <w:pPr>
              <w:pStyle w:val="Normal"/>
              <w:bidi w:val="0"/>
              <w:jc w:val="left"/>
              <w:rPr/>
            </w:pPr>
            <w:r>
              <w:rPr/>
            </w:r>
          </w:p>
        </w:tc>
        <w:tc>
          <w:tcPr>
            <w:tcW w:w="5336"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747" w:type="dxa"/>
            <w:vMerge w:val="continue"/>
            <w:tcBorders/>
          </w:tcPr>
          <w:p>
            <w:pPr>
              <w:pStyle w:val="Normal"/>
              <w:bidi w:val="0"/>
              <w:jc w:val="left"/>
              <w:rPr/>
            </w:pPr>
            <w:r>
              <w:rPr/>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bidi w:val="0"/>
              <w:spacing w:before="0" w:after="283"/>
              <w:jc w:val="center"/>
              <w:rPr/>
            </w:pPr>
            <w:r>
              <w:rPr/>
              <w:t>/s/ Catherine Bonuccelli</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center"/>
              <w:rPr/>
            </w:pPr>
            <w:r>
              <w:rPr/>
              <w:t>October 8, 2026</w:t>
            </w:r>
          </w:p>
        </w:tc>
      </w:tr>
      <w:tr>
        <w:trPr/>
        <w:tc>
          <w:tcPr>
            <w:tcW w:w="28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Catherine Bonuccelli</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left"/>
              <w:rPr>
                <w:sz w:val="4"/>
                <w:szCs w:val="4"/>
              </w:rPr>
            </w:pPr>
            <w:r>
              <w:rPr>
                <w:sz w:val="4"/>
                <w:szCs w:val="4"/>
              </w:rPr>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bidi w:val="0"/>
              <w:spacing w:before="0" w:after="283"/>
              <w:jc w:val="center"/>
              <w:rPr/>
            </w:pPr>
            <w:r>
              <w:rPr/>
              <w:t>/s/ Leone Patterson</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center"/>
              <w:rPr/>
            </w:pPr>
            <w:r>
              <w:rPr/>
              <w:t>October 8, 2026</w:t>
            </w:r>
          </w:p>
        </w:tc>
      </w:tr>
      <w:tr>
        <w:trPr/>
        <w:tc>
          <w:tcPr>
            <w:tcW w:w="28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Leone Patterson</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left"/>
              <w:rPr>
                <w:sz w:val="4"/>
                <w:szCs w:val="4"/>
              </w:rPr>
            </w:pPr>
            <w:r>
              <w:rPr>
                <w:sz w:val="4"/>
                <w:szCs w:val="4"/>
              </w:rPr>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bidi w:val="0"/>
              <w:spacing w:before="0" w:after="283"/>
              <w:jc w:val="center"/>
              <w:rPr/>
            </w:pPr>
            <w:r>
              <w:rPr/>
              <w:t>/s/ James Valentine</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center"/>
              <w:rPr/>
            </w:pPr>
            <w:r>
              <w:rPr/>
              <w:t>October 8, 2026</w:t>
            </w:r>
          </w:p>
        </w:tc>
      </w:tr>
      <w:tr>
        <w:trPr/>
        <w:tc>
          <w:tcPr>
            <w:tcW w:w="28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James Valentine</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left"/>
              <w:rPr>
                <w:sz w:val="4"/>
                <w:szCs w:val="4"/>
              </w:rPr>
            </w:pPr>
            <w:r>
              <w:rPr>
                <w:sz w:val="4"/>
                <w:szCs w:val="4"/>
              </w:rPr>
            </w:r>
          </w:p>
        </w:tc>
      </w:tr>
      <w:tr>
        <w:trPr>
          <w:trHeight w:val="240" w:hRule="atLeast"/>
        </w:trPr>
        <w:tc>
          <w:tcPr>
            <w:tcW w:w="2882" w:type="dxa"/>
            <w:tcBorders/>
            <w:vAlign w:val="center"/>
          </w:tcPr>
          <w:p>
            <w:pPr>
              <w:pStyle w:val="TableContents"/>
              <w:bidi w:val="0"/>
              <w:spacing w:before="0" w:after="283"/>
              <w:jc w:val="left"/>
              <w:rPr>
                <w:sz w:val="4"/>
                <w:szCs w:val="4"/>
              </w:rPr>
            </w:pPr>
            <w:r>
              <w:rPr>
                <w:sz w:val="4"/>
                <w:szCs w:val="4"/>
              </w:rPr>
            </w:r>
          </w:p>
        </w:tc>
        <w:tc>
          <w:tcPr>
            <w:tcW w:w="5456" w:type="dxa"/>
            <w:gridSpan w:val="2"/>
            <w:tcBorders/>
            <w:vAlign w:val="center"/>
          </w:tcPr>
          <w:p>
            <w:pPr>
              <w:pStyle w:val="TableContents"/>
              <w:bidi w:val="0"/>
              <w:spacing w:before="0" w:after="283"/>
              <w:jc w:val="left"/>
              <w:rPr>
                <w:sz w:val="4"/>
                <w:szCs w:val="4"/>
              </w:rPr>
            </w:pPr>
            <w:r>
              <w:rPr>
                <w:sz w:val="4"/>
                <w:szCs w:val="4"/>
              </w:rPr>
            </w:r>
          </w:p>
        </w:tc>
        <w:tc>
          <w:tcPr>
            <w:tcW w:w="1867" w:type="dxa"/>
            <w:gridSpan w:val="2"/>
            <w:tcBorders/>
            <w:vAlign w:val="center"/>
          </w:tcPr>
          <w:p>
            <w:pPr>
              <w:pStyle w:val="TableContents"/>
              <w:bidi w:val="0"/>
              <w:spacing w:before="0" w:after="283"/>
              <w:jc w:val="left"/>
              <w:rPr>
                <w:sz w:val="4"/>
                <w:szCs w:val="4"/>
              </w:rPr>
            </w:pPr>
            <w:r>
              <w:rPr>
                <w:sz w:val="4"/>
                <w:szCs w:val="4"/>
              </w:rPr>
            </w:r>
          </w:p>
        </w:tc>
      </w:tr>
      <w:tr>
        <w:trPr/>
        <w:tc>
          <w:tcPr>
            <w:tcW w:w="2882" w:type="dxa"/>
            <w:tcBorders/>
          </w:tcPr>
          <w:p>
            <w:pPr>
              <w:pStyle w:val="TableContents"/>
              <w:bidi w:val="0"/>
              <w:spacing w:before="0" w:after="283"/>
              <w:jc w:val="center"/>
              <w:rPr/>
            </w:pPr>
            <w:r>
              <w:rPr/>
              <w:t>/s/ Drayton Wise</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center"/>
              <w:rPr/>
            </w:pPr>
            <w:r>
              <w:rPr/>
              <w:t>October 8, 2026</w:t>
            </w:r>
          </w:p>
        </w:tc>
      </w:tr>
      <w:tr>
        <w:trPr/>
        <w:tc>
          <w:tcPr>
            <w:tcW w:w="28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Drayton Wise</w:t>
            </w:r>
          </w:p>
        </w:tc>
        <w:tc>
          <w:tcPr>
            <w:tcW w:w="120" w:type="dxa"/>
            <w:tcBorders/>
            <w:vAlign w:val="bottom"/>
          </w:tcPr>
          <w:p>
            <w:pPr>
              <w:pStyle w:val="TableContents"/>
              <w:bidi w:val="0"/>
              <w:spacing w:before="0" w:after="283"/>
              <w:jc w:val="left"/>
              <w:rPr/>
            </w:pPr>
            <w:r>
              <w:rPr/>
              <w:t>  </w:t>
            </w:r>
          </w:p>
        </w:tc>
        <w:tc>
          <w:tcPr>
            <w:tcW w:w="533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139629dex51.htm"/>
      <w:bookmarkStart w:id="4" w:name="ksd139629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1"/>
                    <a:stretch>
                      <a:fillRect/>
                    </a:stretch>
                  </pic:blipFill>
                  <pic:spPr bwMode="auto">
                    <a:xfrm>
                      <a:off x="0" y="0"/>
                      <a:ext cx="1304925"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Madison A. Jones </w:t>
      </w:r>
    </w:p>
    <w:p>
      <w:pPr>
        <w:pStyle w:val="TextBody"/>
        <w:bidi w:val="0"/>
        <w:spacing w:before="0" w:after="0"/>
        <w:jc w:val="left"/>
        <w:rPr>
          <w:rFonts w:ascii="Times New Roman" w:hAnsi="Times New Roman"/>
          <w:sz w:val="20"/>
        </w:rPr>
      </w:pPr>
      <w:r>
        <w:rPr>
          <w:rFonts w:ascii="Times New Roman" w:hAnsi="Times New Roman"/>
          <w:sz w:val="20"/>
        </w:rPr>
        <w:t xml:space="preserve">T: +1 202 842 7800 </w:t>
      </w:r>
    </w:p>
    <w:p>
      <w:pPr>
        <w:pStyle w:val="TextBody"/>
        <w:bidi w:val="0"/>
        <w:spacing w:before="0" w:after="0"/>
        <w:jc w:val="left"/>
        <w:rPr>
          <w:rFonts w:ascii="Times New Roman" w:hAnsi="Times New Roman"/>
          <w:sz w:val="20"/>
        </w:rPr>
      </w:pPr>
      <w:r>
        <w:rPr>
          <w:rFonts w:ascii="Times New Roman" w:hAnsi="Times New Roman"/>
          <w:sz w:val="20"/>
        </w:rPr>
        <w:t xml:space="preserve">mjones@cooley.com </w:t>
      </w:r>
    </w:p>
    <w:p>
      <w:pPr>
        <w:pStyle w:val="TextBody"/>
        <w:bidi w:val="0"/>
        <w:spacing w:before="240" w:after="0"/>
        <w:jc w:val="left"/>
        <w:rPr>
          <w:rFonts w:ascii="Times New Roman" w:hAnsi="Times New Roman"/>
          <w:sz w:val="20"/>
        </w:rPr>
      </w:pPr>
      <w:r>
        <w:rPr>
          <w:rFonts w:ascii="Times New Roman" w:hAnsi="Times New Roman"/>
          <w:sz w:val="20"/>
        </w:rPr>
        <w:t xml:space="preserve">October 8, 2026 </w:t>
      </w:r>
    </w:p>
    <w:p>
      <w:pPr>
        <w:pStyle w:val="TextBody"/>
        <w:bidi w:val="0"/>
        <w:spacing w:before="240" w:after="0"/>
        <w:jc w:val="left"/>
        <w:rPr>
          <w:rFonts w:ascii="Times New Roman" w:hAnsi="Times New Roman"/>
          <w:sz w:val="20"/>
        </w:rPr>
      </w:pPr>
      <w:r>
        <w:rPr>
          <w:rFonts w:ascii="Times New Roman" w:hAnsi="Times New Roman"/>
          <w:sz w:val="20"/>
        </w:rPr>
        <w:t xml:space="preserve">Quince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611 Gateway Boulevard </w:t>
      </w:r>
    </w:p>
    <w:p>
      <w:pPr>
        <w:pStyle w:val="TextBody"/>
        <w:bidi w:val="0"/>
        <w:spacing w:before="0" w:after="0"/>
        <w:jc w:val="left"/>
        <w:rPr>
          <w:rFonts w:ascii="Times New Roman" w:hAnsi="Times New Roman"/>
          <w:sz w:val="20"/>
        </w:rPr>
      </w:pPr>
      <w:r>
        <w:rPr>
          <w:rFonts w:ascii="Times New Roman" w:hAnsi="Times New Roman"/>
          <w:sz w:val="20"/>
        </w:rPr>
        <w:t xml:space="preserve">Suite 273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Quince Therapeutics,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of shares of the Company’s common stock, par value $0.001 per share (the “</w:t>
      </w:r>
      <w:r>
        <w:rPr>
          <w:rFonts w:ascii="Times New Roman" w:hAnsi="Times New Roman"/>
          <w:b/>
          <w:i/>
          <w:sz w:val="20"/>
        </w:rPr>
        <w:t>Common Stock</w:t>
      </w:r>
      <w:r>
        <w:rPr>
          <w:rFonts w:ascii="Times New Roman" w:hAnsi="Times New Roman"/>
          <w:sz w:val="20"/>
        </w:rPr>
        <w:t>”), consisting of (i) up to 2,199,717 shares of Common Stock issuable pursuant to the Company’s 2026 Equity Incentive Plan (the “</w:t>
      </w:r>
      <w:r>
        <w:rPr>
          <w:rFonts w:ascii="Times New Roman" w:hAnsi="Times New Roman"/>
          <w:b/>
          <w:i/>
          <w:sz w:val="20"/>
        </w:rPr>
        <w:t>2026</w:t>
      </w:r>
      <w:r>
        <w:rPr>
          <w:rFonts w:ascii="Times New Roman" w:hAnsi="Times New Roman"/>
          <w:sz w:val="20"/>
        </w:rPr>
        <w:t xml:space="preserve"> </w:t>
      </w:r>
      <w:r>
        <w:rPr>
          <w:rFonts w:ascii="Times New Roman" w:hAnsi="Times New Roman"/>
          <w:b/>
          <w:i/>
          <w:sz w:val="20"/>
        </w:rPr>
        <w:t>EIP</w:t>
      </w:r>
      <w:r>
        <w:rPr>
          <w:rFonts w:ascii="Times New Roman" w:hAnsi="Times New Roman"/>
          <w:sz w:val="20"/>
        </w:rPr>
        <w:t>”), (ii) 142,045 shares of Common Stock issuable pursuant to the Company’s 2026 Employee Stock Purchase Plan (the “</w:t>
      </w:r>
      <w:r>
        <w:rPr>
          <w:rFonts w:ascii="Times New Roman" w:hAnsi="Times New Roman"/>
          <w:b/>
          <w:i/>
          <w:sz w:val="20"/>
        </w:rPr>
        <w:t>2026</w:t>
      </w:r>
      <w:r>
        <w:rPr>
          <w:rFonts w:ascii="Times New Roman" w:hAnsi="Times New Roman"/>
          <w:sz w:val="20"/>
        </w:rPr>
        <w:t xml:space="preserve"> </w:t>
      </w:r>
      <w:r>
        <w:rPr>
          <w:rFonts w:ascii="Times New Roman" w:hAnsi="Times New Roman"/>
          <w:b/>
          <w:i/>
          <w:sz w:val="20"/>
        </w:rPr>
        <w:t>ESPP</w:t>
      </w:r>
      <w:r>
        <w:rPr>
          <w:rFonts w:ascii="Times New Roman" w:hAnsi="Times New Roman"/>
          <w:sz w:val="20"/>
        </w:rPr>
        <w:t>”), and (iii) 1,245,788 shares of Common Stock issuable upon exercise of outstanding stock options granted under the Orphai Therapeutics Inc. 2013 Employee, Director and Consultant Equity Incentive Plan (the “</w:t>
      </w:r>
      <w:r>
        <w:rPr>
          <w:rFonts w:ascii="Times New Roman" w:hAnsi="Times New Roman"/>
          <w:b/>
          <w:i/>
          <w:sz w:val="20"/>
        </w:rPr>
        <w:t>2013 Orphai</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and the Orphai Therapeutics Inc. 2026 Stock Incentive Plan (the “</w:t>
      </w:r>
      <w:r>
        <w:rPr>
          <w:rFonts w:ascii="Times New Roman" w:hAnsi="Times New Roman"/>
          <w:b/>
          <w:i/>
          <w:sz w:val="20"/>
        </w:rPr>
        <w:t>2026 Orphai</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and, together with the 2013 Orphai Plan, the 2026 EIP and the 2026 ESPP, the “</w:t>
      </w:r>
      <w:r>
        <w:rPr>
          <w:rFonts w:ascii="Times New Roman" w:hAnsi="Times New Roman"/>
          <w:b/>
          <w:i/>
          <w:sz w:val="20"/>
        </w:rPr>
        <w:t>Plans</w:t>
      </w:r>
      <w:r>
        <w:rPr>
          <w:rFonts w:ascii="Times New Roman" w:hAnsi="Times New Roman"/>
          <w:sz w:val="20"/>
        </w:rPr>
        <w:t>”) and assumed by the Company in connection with the Merger (as defined below) (the shares identified in clauses (i), (ii) and (iii), collectively, the “</w:t>
      </w:r>
      <w:r>
        <w:rPr>
          <w:rFonts w:ascii="Times New Roman" w:hAnsi="Times New Roman"/>
          <w:b/>
          <w:i/>
          <w:sz w:val="20"/>
        </w:rPr>
        <w:t>Shares</w:t>
      </w:r>
      <w:r>
        <w:rPr>
          <w:rFonts w:ascii="Times New Roman" w:hAnsi="Times New Roman"/>
          <w:sz w:val="20"/>
        </w:rPr>
        <w:t>”). Please note that the shares identified in clause (iii) will be included in the shares identified in clause (i) to the extent they become available for issuance under the 2026 EIP. They are not additional shares being registered under the Registration Statement. Options outstanding under the 2013 Orphai Plan and the 2026 Orphai Plan were assumed by the Company in connection with the merger (the “</w:t>
      </w:r>
      <w:r>
        <w:rPr>
          <w:rFonts w:ascii="Times New Roman" w:hAnsi="Times New Roman"/>
          <w:b/>
          <w:i/>
          <w:sz w:val="20"/>
        </w:rPr>
        <w:t>Merger</w:t>
      </w:r>
      <w:r>
        <w:rPr>
          <w:rFonts w:ascii="Times New Roman" w:hAnsi="Times New Roman"/>
          <w:sz w:val="20"/>
        </w:rPr>
        <w:t>”) effected pursuant to the Agreement and Plan of Merger, dated as of May 17, 2026 (the “</w:t>
      </w:r>
      <w:r>
        <w:rPr>
          <w:rFonts w:ascii="Times New Roman" w:hAnsi="Times New Roman"/>
          <w:b/>
          <w:i/>
          <w:sz w:val="20"/>
        </w:rPr>
        <w:t>Merger Agreement</w:t>
      </w:r>
      <w:r>
        <w:rPr>
          <w:rFonts w:ascii="Times New Roman" w:hAnsi="Times New Roman"/>
          <w:sz w:val="20"/>
        </w:rPr>
        <w:t xml:space="preserve">”), by and among the Company, Phoenix Merger Sub I, Inc., Phoenix Merger Sub II, LLC, Orphai Holdings Therapeutics, Inc. and Orphai Therapeutics, LLC.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the prospectuses related to the Plans, (b) the Company’s certificate of incorporation and bylaws, each as currently in effect, (c) the Plans, (d) the Merger Agreement and (e)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Madison A. Jones</w:t>
            </w:r>
          </w:p>
        </w:tc>
      </w:tr>
      <w:tr>
        <w:trPr/>
        <w:tc>
          <w:tcPr>
            <w:tcW w:w="3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Madison A. Jones</w:t>
            </w:r>
          </w:p>
        </w:tc>
      </w:tr>
    </w:tbl>
    <w:p>
      <w:pPr>
        <w:pStyle w:val="TextBody"/>
        <w:bidi w:val="0"/>
        <w:spacing w:before="0" w:after="0"/>
        <w:jc w:val="right"/>
        <w:rPr>
          <w:rFonts w:ascii="Times New Roman" w:hAnsi="Times New Roman"/>
          <w:b/>
          <w:sz w:val="20"/>
        </w:rPr>
      </w:pPr>
      <w:bookmarkStart w:id="5" w:name="d139629dex231.htm"/>
      <w:bookmarkStart w:id="6" w:name="ksd139629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of our report dated April 10, 2026, relating to the consolidated financial statements of Quince Therapeutics, Inc. (the Company) appearing in the Company’s Annual Report on Form 10-K for the year ended December 31, 2025. Our report contains an explanatory paragraph regarding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 BDO USA, P.C. </w:t>
      </w:r>
    </w:p>
    <w:p>
      <w:pPr>
        <w:pStyle w:val="TextBody"/>
        <w:bidi w:val="0"/>
        <w:spacing w:before="240" w:after="0"/>
        <w:jc w:val="left"/>
        <w:rPr>
          <w:rFonts w:ascii="Times New Roman" w:hAnsi="Times New Roman"/>
          <w:sz w:val="20"/>
        </w:rPr>
      </w:pPr>
      <w:r>
        <w:rPr>
          <w:rFonts w:ascii="Times New Roman" w:hAnsi="Times New Roman"/>
          <w:sz w:val="20"/>
        </w:rPr>
        <w:t xml:space="preserve">San Jose,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p>
      <w:pPr>
        <w:pStyle w:val="TextBody"/>
        <w:bidi w:val="0"/>
        <w:spacing w:before="0" w:after="0"/>
        <w:jc w:val="right"/>
        <w:rPr>
          <w:rFonts w:ascii="Times New Roman" w:hAnsi="Times New Roman"/>
          <w:b/>
          <w:sz w:val="20"/>
        </w:rPr>
      </w:pPr>
      <w:bookmarkStart w:id="7" w:name="d139629dex232.htm"/>
      <w:bookmarkStart w:id="8" w:name="ksd139629dex232"/>
      <w:bookmarkEnd w:id="7"/>
      <w:bookmarkEnd w:id="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July 29, 2026, relating to the financial statements of Orphai Therapeutics, Inc., appearing in the Current Report on Form 8-K of Quince Therapeutics, Inc. filed on July 29, 2026.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Hartford, Connecticut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p>
      <w:pPr>
        <w:pStyle w:val="TextBody"/>
        <w:bidi w:val="0"/>
        <w:spacing w:before="0" w:after="0"/>
        <w:jc w:val="right"/>
        <w:rPr>
          <w:rFonts w:ascii="Times New Roman" w:hAnsi="Times New Roman"/>
          <w:b/>
          <w:sz w:val="20"/>
        </w:rPr>
      </w:pPr>
      <w:bookmarkStart w:id="9" w:name="d139629dex995.htm"/>
      <w:bookmarkStart w:id="10" w:name="ksd139629dex995"/>
      <w:bookmarkEnd w:id="9"/>
      <w:bookmarkEnd w:id="10"/>
      <w:r>
        <w:rPr>
          <w:rFonts w:ascii="Times New Roman" w:hAnsi="Times New Roman"/>
          <w:b/>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LAM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2013 EMPLOYEE, DIRECTOR AND CONSULTANT EQUITY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(April 1, 2013)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DEFINITIONS.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or unless the context otherwise requires, the following terms, as used in this LAM Therapeutics, Inc. 2013 Employee, Director and Consultant Equity Incentive Plan, have the following meanings: </w:t>
      </w:r>
    </w:p>
    <w:p>
      <w:pPr>
        <w:pStyle w:val="TextBody"/>
        <w:bidi w:val="0"/>
        <w:spacing w:before="120" w:after="0"/>
        <w:jc w:val="left"/>
        <w:rPr>
          <w:rFonts w:ascii="Times New Roman" w:hAnsi="Times New Roman"/>
          <w:sz w:val="20"/>
        </w:rPr>
      </w:pPr>
      <w:r>
        <w:rPr>
          <w:rFonts w:ascii="Times New Roman" w:hAnsi="Times New Roman"/>
          <w:sz w:val="20"/>
          <w:u w:val="single"/>
        </w:rPr>
        <w:t>Administrator</w:t>
      </w:r>
      <w:r>
        <w:rPr>
          <w:rFonts w:ascii="Times New Roman" w:hAnsi="Times New Roman"/>
          <w:sz w:val="20"/>
        </w:rPr>
        <w:t xml:space="preserve"> means the Board of Directors, unless it has delegated power to act on its behalf to the Committee, in which case the Administrator means the Committee. </w:t>
      </w:r>
    </w:p>
    <w:p>
      <w:pPr>
        <w:pStyle w:val="TextBody"/>
        <w:bidi w:val="0"/>
        <w:spacing w:before="120" w:after="0"/>
        <w:jc w:val="left"/>
        <w:rPr>
          <w:rFonts w:ascii="Times New Roman" w:hAnsi="Times New Roman"/>
          <w:sz w:val="20"/>
        </w:rPr>
      </w:pPr>
      <w:r>
        <w:rPr>
          <w:rFonts w:ascii="Times New Roman" w:hAnsi="Times New Roman"/>
          <w:sz w:val="20"/>
          <w:u w:val="single"/>
        </w:rPr>
        <w:t>Affiliate</w:t>
      </w:r>
      <w:r>
        <w:rPr>
          <w:rFonts w:ascii="Times New Roman" w:hAnsi="Times New Roman"/>
          <w:sz w:val="20"/>
        </w:rPr>
        <w:t xml:space="preserve"> means a corporation which, for purposes of Section 424 of the Code, is a parent or subsidiary of the Company, direct or indirect. </w:t>
      </w:r>
    </w:p>
    <w:p>
      <w:pPr>
        <w:pStyle w:val="TextBody"/>
        <w:bidi w:val="0"/>
        <w:spacing w:before="120" w:after="0"/>
        <w:jc w:val="left"/>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means an agreement between the Company and a Participant delivered pursuant to the Plan and pertaining to a Stock Right, in such form as the Administrator shall approve. </w:t>
      </w:r>
    </w:p>
    <w:p>
      <w:pPr>
        <w:pStyle w:val="TextBody"/>
        <w:bidi w:val="0"/>
        <w:spacing w:before="120" w:after="0"/>
        <w:jc w:val="left"/>
        <w:rPr>
          <w:rFonts w:ascii="Times New Roman" w:hAnsi="Times New Roman"/>
          <w:sz w:val="20"/>
        </w:rPr>
      </w:pPr>
      <w:r>
        <w:rPr>
          <w:rFonts w:ascii="Times New Roman" w:hAnsi="Times New Roman"/>
          <w:sz w:val="20"/>
          <w:u w:val="single"/>
        </w:rPr>
        <w:t>Board of Directors</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u w:val="single"/>
        </w:rPr>
        <w:t>California Participant</w:t>
      </w:r>
      <w:r>
        <w:rPr>
          <w:rFonts w:ascii="Times New Roman" w:hAnsi="Times New Roman"/>
          <w:sz w:val="20"/>
        </w:rPr>
        <w:t xml:space="preserve"> means a Participant who resides in the State of California. </w:t>
      </w:r>
    </w:p>
    <w:p>
      <w:pPr>
        <w:pStyle w:val="TextBody"/>
        <w:bidi w:val="0"/>
        <w:spacing w:before="120" w:after="0"/>
        <w:jc w:val="left"/>
        <w:rPr>
          <w:rFonts w:ascii="Times New Roman" w:hAnsi="Times New Roman"/>
          <w:sz w:val="20"/>
        </w:rPr>
      </w:pPr>
      <w:r>
        <w:rPr>
          <w:rFonts w:ascii="Times New Roman" w:hAnsi="Times New Roman"/>
          <w:sz w:val="20"/>
          <w:u w:val="single"/>
        </w:rPr>
        <w:t>Cause</w:t>
      </w:r>
      <w:r>
        <w:rPr>
          <w:rFonts w:ascii="Times New Roman" w:hAnsi="Times New Roman"/>
          <w:sz w:val="20"/>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 </w:t>
      </w:r>
    </w:p>
    <w:p>
      <w:pPr>
        <w:pStyle w:val="TextBody"/>
        <w:bidi w:val="0"/>
        <w:spacing w:before="120" w:after="0"/>
        <w:jc w:val="left"/>
        <w:rPr>
          <w:rFonts w:ascii="Times New Roman" w:hAnsi="Times New Roman"/>
          <w:sz w:val="20"/>
        </w:rPr>
      </w:pPr>
      <w:r>
        <w:rPr>
          <w:rFonts w:ascii="Times New Roman" w:hAnsi="Times New Roman"/>
          <w:sz w:val="20"/>
          <w:u w:val="single"/>
        </w:rPr>
        <w:t>Code</w:t>
      </w:r>
      <w:r>
        <w:rPr>
          <w:rFonts w:ascii="Times New Roman" w:hAnsi="Times New Roman"/>
          <w:sz w:val="20"/>
        </w:rPr>
        <w:t xml:space="preserve"> means the United States Internal Revenue Code of 1986, as amended including any successor statute, regulation and guidance thereto. </w:t>
      </w:r>
    </w:p>
    <w:p>
      <w:pPr>
        <w:pStyle w:val="TextBody"/>
        <w:bidi w:val="0"/>
        <w:spacing w:before="120" w:after="0"/>
        <w:jc w:val="left"/>
        <w:rPr>
          <w:rFonts w:ascii="Times New Roman" w:hAnsi="Times New Roman"/>
          <w:sz w:val="20"/>
        </w:rPr>
      </w:pPr>
      <w:r>
        <w:rPr>
          <w:rFonts w:ascii="Times New Roman" w:hAnsi="Times New Roman"/>
          <w:sz w:val="20"/>
          <w:u w:val="single"/>
        </w:rPr>
        <w:t>Committee</w:t>
      </w:r>
      <w:r>
        <w:rPr>
          <w:rFonts w:ascii="Times New Roman" w:hAnsi="Times New Roman"/>
          <w:sz w:val="20"/>
        </w:rPr>
        <w:t xml:space="preserve"> means the committee of the Board of Directors to which the Board of Directors has delegated power to act under or pursuant to the provisions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Common Stock</w:t>
      </w:r>
      <w:r>
        <w:rPr>
          <w:rFonts w:ascii="Times New Roman" w:hAnsi="Times New Roman"/>
          <w:sz w:val="20"/>
        </w:rPr>
        <w:t xml:space="preserve"> means shares of the Company’s common stock, $0.0001 par value per share.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means LAM Therapeutics, Inc., a Delaware corporation. </w:t>
      </w:r>
    </w:p>
    <w:p>
      <w:pPr>
        <w:pStyle w:val="TextBody"/>
        <w:bidi w:val="0"/>
        <w:spacing w:before="120" w:after="0"/>
        <w:jc w:val="left"/>
        <w:rPr>
          <w:rFonts w:ascii="Times New Roman" w:hAnsi="Times New Roman"/>
          <w:sz w:val="20"/>
        </w:rPr>
      </w:pPr>
      <w:r>
        <w:rPr>
          <w:rFonts w:ascii="Times New Roman" w:hAnsi="Times New Roman"/>
          <w:sz w:val="20"/>
          <w:u w:val="single"/>
        </w:rPr>
        <w:t>Consultant</w:t>
      </w:r>
      <w:r>
        <w:rPr>
          <w:rFonts w:ascii="Times New Roman" w:hAnsi="Times New Roman"/>
          <w:sz w:val="20"/>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 </w:t>
      </w:r>
    </w:p>
    <w:p>
      <w:pPr>
        <w:pStyle w:val="TextBody"/>
        <w:bidi w:val="0"/>
        <w:spacing w:before="120" w:after="0"/>
        <w:jc w:val="left"/>
        <w:rPr>
          <w:rFonts w:ascii="Times New Roman" w:hAnsi="Times New Roman"/>
          <w:sz w:val="20"/>
        </w:rPr>
      </w:pPr>
      <w:r>
        <w:rPr>
          <w:rFonts w:ascii="Times New Roman" w:hAnsi="Times New Roman"/>
          <w:sz w:val="20"/>
          <w:u w:val="single"/>
        </w:rPr>
        <w:t>Disability</w:t>
      </w:r>
      <w:r>
        <w:rPr>
          <w:rFonts w:ascii="Times New Roman" w:hAnsi="Times New Roman"/>
          <w:sz w:val="20"/>
        </w:rPr>
        <w:t xml:space="preserve"> or </w:t>
      </w:r>
      <w:r>
        <w:rPr>
          <w:rFonts w:ascii="Times New Roman" w:hAnsi="Times New Roman"/>
          <w:sz w:val="20"/>
          <w:u w:val="single"/>
        </w:rPr>
        <w:t>Disabled</w:t>
      </w:r>
      <w:r>
        <w:rPr>
          <w:rFonts w:ascii="Times New Roman" w:hAnsi="Times New Roman"/>
          <w:sz w:val="20"/>
        </w:rPr>
        <w:t xml:space="preserve"> means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u w:val="single"/>
        </w:rPr>
        <w:t>Employee</w:t>
      </w:r>
      <w:r>
        <w:rPr>
          <w:rFonts w:ascii="Times New Roman" w:hAnsi="Times New Roman"/>
          <w:sz w:val="20"/>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 </w:t>
      </w:r>
    </w:p>
    <w:p>
      <w:pPr>
        <w:pStyle w:val="TextBody"/>
        <w:bidi w:val="0"/>
        <w:spacing w:before="120" w:after="0"/>
        <w:jc w:val="left"/>
        <w:rPr>
          <w:rFonts w:ascii="Times New Roman" w:hAnsi="Times New Roman"/>
          <w:sz w:val="20"/>
        </w:rPr>
      </w:pPr>
      <w:r>
        <w:rPr>
          <w:rFonts w:ascii="Times New Roman" w:hAnsi="Times New Roman"/>
          <w:sz w:val="20"/>
          <w:u w:val="single"/>
        </w:rPr>
        <w:t>Fair Market Value</w:t>
      </w:r>
      <w:r>
        <w:rPr>
          <w:rFonts w:ascii="Times New Roman" w:hAnsi="Times New Roman"/>
          <w:sz w:val="20"/>
        </w:rPr>
        <w:t xml:space="preserve"> of a Share of Common Stock means: </w:t>
      </w:r>
    </w:p>
    <w:p>
      <w:pPr>
        <w:pStyle w:val="TextBody"/>
        <w:bidi w:val="0"/>
        <w:spacing w:before="120" w:after="0"/>
        <w:jc w:val="left"/>
        <w:rPr>
          <w:rFonts w:ascii="Times New Roman" w:hAnsi="Times New Roman"/>
          <w:sz w:val="20"/>
        </w:rPr>
      </w:pPr>
      <w:r>
        <w:rPr>
          <w:rFonts w:ascii="Times New Roman" w:hAnsi="Times New Roman"/>
          <w:sz w:val="20"/>
        </w:rPr>
        <w:t xml:space="preserve">(1) 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 </w:t>
      </w:r>
    </w:p>
    <w:p>
      <w:pPr>
        <w:pStyle w:val="TextBody"/>
        <w:bidi w:val="0"/>
        <w:spacing w:before="120" w:after="0"/>
        <w:jc w:val="left"/>
        <w:rPr>
          <w:rFonts w:ascii="Times New Roman" w:hAnsi="Times New Roman"/>
          <w:sz w:val="20"/>
        </w:rPr>
      </w:pPr>
      <w:r>
        <w:rPr>
          <w:rFonts w:ascii="Times New Roman" w:hAnsi="Times New Roman"/>
          <w:sz w:val="20"/>
        </w:rPr>
        <w:t xml:space="preserve">(2) 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 </w:t>
      </w:r>
    </w:p>
    <w:p>
      <w:pPr>
        <w:pStyle w:val="TextBody"/>
        <w:bidi w:val="0"/>
        <w:spacing w:before="120" w:after="0"/>
        <w:jc w:val="left"/>
        <w:rPr>
          <w:rFonts w:ascii="Times New Roman" w:hAnsi="Times New Roman"/>
          <w:sz w:val="20"/>
        </w:rPr>
      </w:pPr>
      <w:r>
        <w:rPr>
          <w:rFonts w:ascii="Times New Roman" w:hAnsi="Times New Roman"/>
          <w:sz w:val="20"/>
        </w:rPr>
        <w:t xml:space="preserve">(3) If the Common Stock is neither listed on a national securities exchange nor traded in the over-the-counter market, such value as the Administrator, in good faith, shall determine. </w:t>
      </w:r>
    </w:p>
    <w:p>
      <w:pPr>
        <w:pStyle w:val="TextBody"/>
        <w:bidi w:val="0"/>
        <w:spacing w:before="120" w:after="0"/>
        <w:jc w:val="left"/>
        <w:rPr>
          <w:rFonts w:ascii="Times New Roman" w:hAnsi="Times New Roman"/>
          <w:sz w:val="20"/>
        </w:rPr>
      </w:pPr>
      <w:r>
        <w:rPr>
          <w:rFonts w:ascii="Times New Roman" w:hAnsi="Times New Roman"/>
          <w:sz w:val="20"/>
          <w:u w:val="single"/>
        </w:rPr>
        <w:t>ISO</w:t>
      </w:r>
      <w:r>
        <w:rPr>
          <w:rFonts w:ascii="Times New Roman" w:hAnsi="Times New Roman"/>
          <w:sz w:val="20"/>
        </w:rPr>
        <w:t xml:space="preserve"> means an option intended to qualify as an incentive stock option under Section 422 of the Code. </w:t>
      </w:r>
    </w:p>
    <w:p>
      <w:pPr>
        <w:pStyle w:val="TextBody"/>
        <w:bidi w:val="0"/>
        <w:spacing w:before="120" w:after="0"/>
        <w:jc w:val="left"/>
        <w:rPr>
          <w:rFonts w:ascii="Times New Roman" w:hAnsi="Times New Roman"/>
          <w:sz w:val="20"/>
        </w:rPr>
      </w:pPr>
      <w:r>
        <w:rPr>
          <w:rFonts w:ascii="Times New Roman" w:hAnsi="Times New Roman"/>
          <w:sz w:val="20"/>
          <w:u w:val="single"/>
        </w:rPr>
        <w:t>Non-Qualified Option</w:t>
      </w:r>
      <w:r>
        <w:rPr>
          <w:rFonts w:ascii="Times New Roman" w:hAnsi="Times New Roman"/>
          <w:sz w:val="20"/>
        </w:rPr>
        <w:t xml:space="preserve"> means an option which is not intended to qualify as an ISO. </w:t>
      </w:r>
    </w:p>
    <w:p>
      <w:pPr>
        <w:pStyle w:val="TextBody"/>
        <w:bidi w:val="0"/>
        <w:spacing w:before="120" w:after="0"/>
        <w:jc w:val="left"/>
        <w:rPr>
          <w:rFonts w:ascii="Times New Roman" w:hAnsi="Times New Roman"/>
          <w:sz w:val="20"/>
        </w:rPr>
      </w:pPr>
      <w:r>
        <w:rPr>
          <w:rFonts w:ascii="Times New Roman" w:hAnsi="Times New Roman"/>
          <w:sz w:val="20"/>
          <w:u w:val="single"/>
        </w:rPr>
        <w:t>Option</w:t>
      </w:r>
      <w:r>
        <w:rPr>
          <w:rFonts w:ascii="Times New Roman" w:hAnsi="Times New Roman"/>
          <w:sz w:val="20"/>
        </w:rPr>
        <w:t xml:space="preserve"> means an ISO or Non-Qualified Option granted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Participant</w:t>
      </w:r>
      <w:r>
        <w:rPr>
          <w:rFonts w:ascii="Times New Roman" w:hAnsi="Times New Roman"/>
          <w:sz w:val="20"/>
        </w:rPr>
        <w:t xml:space="preserve"> means an Employee, director or Consultant of the Company or an Affiliate to whom one or more Stock Rights are granted under the Plan. As used herein, “Participant” shall include “Participant’s Survivors” where the context requires. </w:t>
      </w:r>
    </w:p>
    <w:p>
      <w:pPr>
        <w:pStyle w:val="TextBody"/>
        <w:bidi w:val="0"/>
        <w:spacing w:before="120" w:after="0"/>
        <w:jc w:val="left"/>
        <w:rPr>
          <w:rFonts w:ascii="Times New Roman" w:hAnsi="Times New Roman"/>
          <w:sz w:val="20"/>
        </w:rPr>
      </w:pPr>
      <w:r>
        <w:rPr>
          <w:rFonts w:ascii="Times New Roman" w:hAnsi="Times New Roman"/>
          <w:sz w:val="20"/>
          <w:u w:val="single"/>
        </w:rPr>
        <w:t>Plan</w:t>
      </w:r>
      <w:r>
        <w:rPr>
          <w:rFonts w:ascii="Times New Roman" w:hAnsi="Times New Roman"/>
          <w:sz w:val="20"/>
        </w:rPr>
        <w:t xml:space="preserve"> means this LAM Therapeutics, Inc. 2013 Employee, Director and Consultant Equity Incentive Plan. </w:t>
      </w:r>
    </w:p>
    <w:p>
      <w:pPr>
        <w:pStyle w:val="TextBody"/>
        <w:bidi w:val="0"/>
        <w:spacing w:before="120" w:after="0"/>
        <w:jc w:val="left"/>
        <w:rPr>
          <w:rFonts w:ascii="Times New Roman" w:hAnsi="Times New Roman"/>
          <w:sz w:val="20"/>
        </w:rPr>
      </w:pP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u w:val="single"/>
        </w:rPr>
        <w:t>Shares</w:t>
      </w:r>
      <w:r>
        <w:rPr>
          <w:rFonts w:ascii="Times New Roman" w:hAnsi="Times New Roman"/>
          <w:sz w:val="20"/>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 </w:t>
      </w:r>
    </w:p>
    <w:p>
      <w:pPr>
        <w:pStyle w:val="TextBody"/>
        <w:bidi w:val="0"/>
        <w:spacing w:before="120" w:after="0"/>
        <w:jc w:val="left"/>
        <w:rPr>
          <w:rFonts w:ascii="Times New Roman" w:hAnsi="Times New Roman"/>
          <w:sz w:val="20"/>
        </w:rPr>
      </w:pPr>
      <w:r>
        <w:rPr>
          <w:rFonts w:ascii="Times New Roman" w:hAnsi="Times New Roman"/>
          <w:sz w:val="20"/>
          <w:u w:val="single"/>
        </w:rPr>
        <w:t>Stock-Based Award</w:t>
      </w:r>
      <w:r>
        <w:rPr>
          <w:rFonts w:ascii="Times New Roman" w:hAnsi="Times New Roman"/>
          <w:sz w:val="20"/>
        </w:rPr>
        <w:t xml:space="preserve"> means a grant by the Company under the Plan of an equity award or an equity based award which is not an Option or a Stock Grant. </w:t>
      </w:r>
    </w:p>
    <w:p>
      <w:pPr>
        <w:pStyle w:val="TextBody"/>
        <w:bidi w:val="0"/>
        <w:spacing w:before="120" w:after="0"/>
        <w:jc w:val="left"/>
        <w:rPr>
          <w:rFonts w:ascii="Times New Roman" w:hAnsi="Times New Roman"/>
          <w:sz w:val="20"/>
        </w:rPr>
      </w:pPr>
      <w:r>
        <w:rPr>
          <w:rFonts w:ascii="Times New Roman" w:hAnsi="Times New Roman"/>
          <w:sz w:val="20"/>
          <w:u w:val="single"/>
        </w:rPr>
        <w:t>Stock Grant</w:t>
      </w:r>
      <w:r>
        <w:rPr>
          <w:rFonts w:ascii="Times New Roman" w:hAnsi="Times New Roman"/>
          <w:sz w:val="20"/>
        </w:rPr>
        <w:t xml:space="preserve"> means a grant by the Company of Shares under the Plan. </w:t>
      </w:r>
    </w:p>
    <w:p>
      <w:pPr>
        <w:pStyle w:val="TextBody"/>
        <w:bidi w:val="0"/>
        <w:spacing w:before="120" w:after="0"/>
        <w:jc w:val="left"/>
        <w:rPr>
          <w:rFonts w:ascii="Times New Roman" w:hAnsi="Times New Roman"/>
          <w:sz w:val="20"/>
        </w:rPr>
      </w:pPr>
      <w:r>
        <w:rPr>
          <w:rFonts w:ascii="Times New Roman" w:hAnsi="Times New Roman"/>
          <w:sz w:val="20"/>
          <w:u w:val="single"/>
        </w:rPr>
        <w:t>Stock Right</w:t>
      </w:r>
      <w:r>
        <w:rPr>
          <w:rFonts w:ascii="Times New Roman" w:hAnsi="Times New Roman"/>
          <w:sz w:val="20"/>
        </w:rPr>
        <w:t xml:space="preserve"> means a right to Shares or the value of Shares of the Company granted pursuant to the Plan — an ISO, a Non-Qualified Option, a Stock Grant or a Stock-Based Award. </w:t>
      </w:r>
    </w:p>
    <w:p>
      <w:pPr>
        <w:pStyle w:val="TextBody"/>
        <w:bidi w:val="0"/>
        <w:spacing w:before="120" w:after="0"/>
        <w:jc w:val="left"/>
        <w:rPr>
          <w:rFonts w:ascii="Times New Roman" w:hAnsi="Times New Roman"/>
          <w:sz w:val="20"/>
        </w:rPr>
      </w:pPr>
      <w:r>
        <w:rPr>
          <w:rFonts w:ascii="Times New Roman" w:hAnsi="Times New Roman"/>
          <w:sz w:val="20"/>
          <w:u w:val="single"/>
        </w:rPr>
        <w:t>Survivor</w:t>
      </w:r>
      <w:r>
        <w:rPr>
          <w:rFonts w:ascii="Times New Roman" w:hAnsi="Times New Roman"/>
          <w:sz w:val="20"/>
        </w:rPr>
        <w:t xml:space="preserve"> means a deceased Participant’s legal representatives and/or any person or persons who acquired the Participant’s rights to a Stock Right by will or by the laws of descent and distribution.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PURPOSES OF THE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SHARES SUBJECT TO THE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number of Shares which may be issued from time to time pursuant to this Plan shall be 4,000,000, or the equivalent of such number of Shares after the Administrator, in its sole discretion, has interpreted the effect of any stock split, stock dividend, combination, recapitalization or similar transaction in accordance with Paragraph 24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ADMINISTRATION OF THE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of the Plan will be the Board of Directors, except to the extent the Board of Directors delegates its authority to the Committee, in which case the Committee shall be the Administrator. Subject to the provisions of the Plan, the Administrator is authorized to: </w:t>
      </w:r>
    </w:p>
    <w:p>
      <w:pPr>
        <w:pStyle w:val="TextBody"/>
        <w:bidi w:val="0"/>
        <w:spacing w:before="120" w:after="0"/>
        <w:jc w:val="left"/>
        <w:rPr>
          <w:rFonts w:ascii="Times New Roman" w:hAnsi="Times New Roman"/>
          <w:sz w:val="20"/>
        </w:rPr>
      </w:pPr>
      <w:r>
        <w:rPr>
          <w:rFonts w:ascii="Times New Roman" w:hAnsi="Times New Roman"/>
          <w:sz w:val="20"/>
        </w:rPr>
        <w:t xml:space="preserve">(a) Interpret the provisions of the Plan and all Stock Rights and to make all rules and determinations which it deems necessary or advisable for the administration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(b) Determine which Employees, directors and Consultants shall be granted Stock Rights; </w:t>
      </w:r>
    </w:p>
    <w:p>
      <w:pPr>
        <w:pStyle w:val="TextBody"/>
        <w:bidi w:val="0"/>
        <w:spacing w:before="120" w:after="0"/>
        <w:jc w:val="left"/>
        <w:rPr>
          <w:rFonts w:ascii="Times New Roman" w:hAnsi="Times New Roman"/>
          <w:sz w:val="20"/>
        </w:rPr>
      </w:pPr>
      <w:r>
        <w:rPr>
          <w:rFonts w:ascii="Times New Roman" w:hAnsi="Times New Roman"/>
          <w:sz w:val="20"/>
        </w:rPr>
        <w:t xml:space="preserve">(c) Determine the number of Shares for which a Stock Right or Stock Rights shall be granted; </w:t>
      </w:r>
    </w:p>
    <w:p>
      <w:pPr>
        <w:pStyle w:val="TextBody"/>
        <w:bidi w:val="0"/>
        <w:spacing w:before="120" w:after="0"/>
        <w:jc w:val="left"/>
        <w:rPr>
          <w:rFonts w:ascii="Times New Roman" w:hAnsi="Times New Roman"/>
          <w:sz w:val="20"/>
        </w:rPr>
      </w:pPr>
      <w:r>
        <w:rPr>
          <w:rFonts w:ascii="Times New Roman" w:hAnsi="Times New Roman"/>
          <w:sz w:val="20"/>
        </w:rPr>
        <w:t xml:space="preserve">(d) Specify the terms and conditions upon which a Stock Right or Stock Rights may be granted; </w:t>
      </w:r>
    </w:p>
    <w:p>
      <w:pPr>
        <w:pStyle w:val="TextBody"/>
        <w:bidi w:val="0"/>
        <w:spacing w:before="120" w:after="0"/>
        <w:jc w:val="left"/>
        <w:rPr>
          <w:rFonts w:ascii="Times New Roman" w:hAnsi="Times New Roman"/>
          <w:sz w:val="20"/>
        </w:rPr>
      </w:pPr>
      <w:r>
        <w:rPr>
          <w:rFonts w:ascii="Times New Roman" w:hAnsi="Times New Roman"/>
          <w:sz w:val="20"/>
        </w:rPr>
        <w:t xml:space="preserve">(e) Amend any term or condition of any outstanding Stock Right, including, without limitation, to reduce or increase the exercise price or purchase price,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(f) Buy out for a payment in cash or Shares, a Stock Right previously granted and/or cancel any such Stock Right and grant in substitution therefor other Stock Rights, covering the same or a different number of Shares and having an exercise price or purchase price per share which may be lower or higher than the exercise price or purchase price of the cancelled Stock Right, based on such terms and conditions as the Administrator shall establish and the Participant shall accept;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ELIGIBILITY FOR PARTICIPATION.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TERMS AND CONDITIONS OF OPTIONS.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Non-Qualified Options</w:t>
      </w:r>
      <w:r>
        <w:rPr>
          <w:rFonts w:ascii="Times New Roman" w:hAnsi="Times New Roman"/>
          <w:sz w:val="20"/>
        </w:rPr>
        <w:t xml:space="preserve">: Each Option intended to be a Non-Qualified Option shall be subject to the terms and conditions which the Administrator determines to be appropriate and in the best interest of the Company, subject to the following minimum standards for any such Non-Qualified Option: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Price</w:t>
            </w:r>
            <w:r>
              <w:rPr>
                <w:rFonts w:ascii="Times New Roman" w:hAnsi="Times New Roman"/>
                <w:sz w:val="20"/>
              </w:rPr>
              <w:t xml:space="preserve">: Each Option Agreement shall state the exercise price (per share) of the Shares covered by each Option, which exercise price shall be determined by the Administrator and shall be at least equal to par value; provided, that the exercise price may be less than the Fair Market Value per share of Common Stock on the date of grant of the Option only if the terms of such Option comply with the requirements of Section 409A of the Code (unless granted to a Consultant to whom Section 409A of the Code does not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Number of Shares</w:t>
            </w:r>
            <w:r>
              <w:rPr>
                <w:rFonts w:ascii="Times New Roman" w:hAnsi="Times New Roman"/>
                <w:sz w:val="20"/>
              </w:rPr>
              <w:t xml:space="preserve">: Each Option Agreement shall state the number of Shares to which it pertains.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Option Periods</w:t>
            </w:r>
            <w:r>
              <w:rPr>
                <w:rFonts w:ascii="Times New Roman" w:hAnsi="Times New Roman"/>
                <w:sz w:val="20"/>
              </w:rPr>
              <w:t xml:space="preserve">: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 For California Participants, the exercise period of the Option set forth in the Option Agreement shall not be more than 120 months from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Option Conditions</w:t>
            </w:r>
            <w:r>
              <w:rPr>
                <w:rFonts w:ascii="Times New Roman" w:hAnsi="Times New Roman"/>
                <w:sz w:val="20"/>
              </w:rPr>
              <w:t xml:space="preserve">: Exercise of any Option may be conditioned upon the Participant’s execution of a Share purchase agreement in form satisfactory to the Administrator providing for certain protections for the Company and its other shareholders, including requirements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Participant’s or the Participant’s Survivors’ right to sell or transfer the Shares may be restricted;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Participant or the Participant’s Survivors may be required to execute letters of investment intent and must also acknowledge that the Shares will bear legends noting any applicable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 of Option</w:t>
            </w:r>
            <w:r>
              <w:rPr>
                <w:rFonts w:ascii="Times New Roman" w:hAnsi="Times New Roman"/>
                <w:sz w:val="20"/>
              </w:rPr>
              <w:t xml:space="preserve">: Each Option shall terminate not more than ten years from the date of the grant or at such earlier time as the Option Agreement may provide.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ISOs</w:t>
      </w:r>
      <w:r>
        <w:rPr>
          <w:rFonts w:ascii="Times New Roman" w:hAnsi="Times New Roman"/>
          <w:sz w:val="20"/>
        </w:rPr>
        <w:t xml:space="preserve">: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Minimum standards</w:t>
            </w:r>
            <w:r>
              <w:rPr>
                <w:rFonts w:ascii="Times New Roman" w:hAnsi="Times New Roman"/>
                <w:sz w:val="20"/>
              </w:rPr>
              <w:t xml:space="preserve">: The ISO shall meet the minimum standards required of Non-Qualified Options, as described in Paragraph 6(a) above, except clause (i) and (v)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Price</w:t>
            </w:r>
            <w:r>
              <w:rPr>
                <w:rFonts w:ascii="Times New Roman" w:hAnsi="Times New Roman"/>
                <w:sz w:val="20"/>
              </w:rPr>
              <w:t xml:space="preserve">: Immediately before the ISO is granted, if the Participant owns, directly or by reason of the applicable attribution rules in Section 424(d)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or less</w:t>
            </w:r>
            <w:r>
              <w:rPr>
                <w:rFonts w:ascii="Times New Roman" w:hAnsi="Times New Roman"/>
                <w:sz w:val="20"/>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 of Option</w:t>
            </w:r>
            <w:r>
              <w:rPr>
                <w:rFonts w:ascii="Times New Roman" w:hAnsi="Times New Roman"/>
                <w:sz w:val="20"/>
              </w:rPr>
              <w:t xml:space="preserve">: For Participants who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or less</w:t>
            </w:r>
            <w:r>
              <w:rPr>
                <w:rFonts w:ascii="Times New Roman" w:hAnsi="Times New Roman"/>
                <w:sz w:val="20"/>
              </w:rPr>
              <w:t xml:space="preserve"> of the total combined voting power of all classes of stock of the Company or an Affiliate, each ISO shall terminate not more than ten years from the date of the grant or at such earlier time as the Option Agreement may provide;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10% of the total combined voting power of all classes of stock of the Company or an Affiliate, each ISO shall terminate not more than five years from the date of the grant or at such earlier time as the Option Agreement may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Limitation on Yearly Exercise</w:t>
            </w:r>
            <w:r>
              <w:rPr>
                <w:rFonts w:ascii="Times New Roman" w:hAnsi="Times New Roman"/>
                <w:sz w:val="20"/>
              </w:rPr>
              <w:t xml:space="preserve">: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TERMS AND CONDITIONS OF STOCK GRANTS.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Stock Grant to a Participant shall state the principal terms in an Agreement duly executed by the Company and, to the extent required by law or requested by the Company, by the Participant. For California Participants, each Stock Grant shall be issued within ten (10) years from the earlier of the date the Plan is adopted or approved by the Company’s shareholders. The Agreement shall be in a form approved by the Administrator and shall contain terms and conditions which the Administrator determines to be appropriate and in the best interest of the Company, subject to the following minimum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 </w:t>
      </w:r>
    </w:p>
    <w:p>
      <w:pPr>
        <w:pStyle w:val="TextBody"/>
        <w:bidi w:val="0"/>
        <w:spacing w:before="120" w:after="0"/>
        <w:jc w:val="left"/>
        <w:rPr>
          <w:rFonts w:ascii="Times New Roman" w:hAnsi="Times New Roman"/>
          <w:sz w:val="20"/>
        </w:rPr>
      </w:pPr>
      <w:r>
        <w:rPr>
          <w:rFonts w:ascii="Times New Roman" w:hAnsi="Times New Roman"/>
          <w:sz w:val="20"/>
        </w:rPr>
        <w:t xml:space="preserve">(b) Each Agreement shall state the number of Shares to which the Stock Grant pertains; and </w:t>
      </w:r>
    </w:p>
    <w:p>
      <w:pPr>
        <w:pStyle w:val="TextBody"/>
        <w:bidi w:val="0"/>
        <w:spacing w:before="120" w:after="0"/>
        <w:jc w:val="left"/>
        <w:rPr>
          <w:rFonts w:ascii="Times New Roman" w:hAnsi="Times New Roman"/>
          <w:sz w:val="20"/>
        </w:rPr>
      </w:pPr>
      <w:r>
        <w:rPr>
          <w:rFonts w:ascii="Times New Roman" w:hAnsi="Times New Roman"/>
          <w:sz w:val="20"/>
        </w:rPr>
        <w:t xml:space="preserve">(c) Each Agreement shall include the terms of any right of the Company to restrict or reacquire the Shares subject to the Stock Grant, including the time or events upon which such rights shall accrue and the purchase price therefor,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TERMS AND CONDITIONS OF OTHER STOCK-BASED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shall have the right to grant other Stock-Based Awards based upon the Common Stock having such terms and conditions as the Administrator may determine, including, without limitation,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effect the intent as described in this Paragraph 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OF OPTIONS AND ISSUE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(e) at the discretion of the Administrator, in accordance with a cashless exercise program established with a securities brokerage firm, and approved by the Administrator, or (f) at the discretion of the Administrator, by any combination of (a), (b), (c), (d) and (e) above or (g) at the discretion of the Administrator, by payment of such other lawful consideration as the Administrator may determine. Notwithstanding the foregoing, the Administrator shall accept only such payment on exercise of an ISO as is permitted by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PAYMENT IN CONNECTION WITH THE ISSUANCE OF STOCK GRANTS</w:t>
            </w:r>
            <w:r>
              <w:rPr>
                <w:rFonts w:ascii="Times New Roman" w:hAnsi="Times New Roman"/>
                <w:sz w:val="20"/>
              </w:rPr>
              <w:t xml:space="preserve"> </w:t>
            </w:r>
            <w:r>
              <w:rPr>
                <w:rFonts w:ascii="Times New Roman" w:hAnsi="Times New Roman"/>
                <w:sz w:val="20"/>
                <w:u w:val="single"/>
              </w:rPr>
              <w:t>AND STOCK-BASED AWARDS AND ISSUE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(after consideration of applicable securities, tax and accounting implications), by delivery of the grantee’s personal recourse note bearing interest payable not less than annually at no less than 100% of the applicable Federal rate, as defined in Section 1274(d) of the Code, or (d) at the discretion of the Administrator, by any combination of (a), (b) and (c) above; or (e) at the discretion of the Administrator, by payment of such other lawful consideration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RIGHTS AS A SHAREHOLDER.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ASSIGNABILITY AND TRANSFERABILITY OF STOCK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For California Participants, Stock Rights shall not be transferable by the Participant other than by will or by the laws of descent and distribution, to a revocable trust, or as permitted by Rule 701 of the Securities Act.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OPTIONS OF TERMINATION OF SERVICE OTHER THAN</w:t>
            </w:r>
            <w:r>
              <w:rPr>
                <w:rFonts w:ascii="Times New Roman" w:hAnsi="Times New Roman"/>
                <w:sz w:val="20"/>
              </w:rPr>
              <w:t xml:space="preserve"> </w:t>
            </w:r>
            <w:r>
              <w:rPr>
                <w:rFonts w:ascii="Times New Roman" w:hAnsi="Times New Roman"/>
                <w:sz w:val="20"/>
                <w:u w:val="single"/>
              </w:rPr>
              <w:t>FOR CAUSE OR DEATH OR DISABILITY.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Option Agreement, in the event of a termination of service (whether as an Employee, director or Consultant) with the Company or an Affiliate before the Participant has exercised an Option, the following rules apply: </w:t>
      </w:r>
    </w:p>
    <w:p>
      <w:pPr>
        <w:pStyle w:val="TextBody"/>
        <w:bidi w:val="0"/>
        <w:spacing w:before="120" w:after="0"/>
        <w:jc w:val="left"/>
        <w:rPr>
          <w:rFonts w:ascii="Times New Roman" w:hAnsi="Times New Roman"/>
          <w:sz w:val="20"/>
        </w:rPr>
      </w:pPr>
      <w:r>
        <w:rPr>
          <w:rFonts w:ascii="Times New Roman" w:hAnsi="Times New Roman"/>
          <w:sz w:val="20"/>
        </w:rPr>
        <w:t xml:space="preserve">(a) 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Except as provided in Subparagraph (c) below, or Paragraph 15 or 16, in no event may an Option intended to be an ISO, be exercised later than three months after the Participant’s termination of employment. For Options granted to California Participants, an Option must be exercisable for at least thirty (30) days from the date of a Participant’s termination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 </w:t>
      </w:r>
    </w:p>
    <w:p>
      <w:pPr>
        <w:pStyle w:val="TextBody"/>
        <w:bidi w:val="0"/>
        <w:spacing w:before="120" w:after="0"/>
        <w:jc w:val="left"/>
        <w:rPr>
          <w:rFonts w:ascii="Times New Roman" w:hAnsi="Times New Roman"/>
          <w:sz w:val="20"/>
        </w:rPr>
      </w:pPr>
      <w:r>
        <w:rPr>
          <w:rFonts w:ascii="Times New Roman" w:hAnsi="Times New Roman"/>
          <w:sz w:val="20"/>
        </w:rPr>
        <w:t xml:space="preserve">(e) 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181st day following such leave of absence. </w:t>
      </w:r>
    </w:p>
    <w:p>
      <w:pPr>
        <w:pStyle w:val="TextBody"/>
        <w:bidi w:val="0"/>
        <w:spacing w:before="120" w:after="0"/>
        <w:jc w:val="left"/>
        <w:rPr>
          <w:rFonts w:ascii="Times New Roman" w:hAnsi="Times New Roman"/>
          <w:sz w:val="20"/>
        </w:rPr>
      </w:pPr>
      <w:r>
        <w:rPr>
          <w:rFonts w:ascii="Times New Roman" w:hAnsi="Times New Roman"/>
          <w:sz w:val="20"/>
        </w:rPr>
        <w:t xml:space="preserve">(f) 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OPTIONS OF TERMINATION OF SERVICE FOR CAUSE.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 </w:t>
      </w:r>
    </w:p>
    <w:p>
      <w:pPr>
        <w:pStyle w:val="TextBody"/>
        <w:bidi w:val="0"/>
        <w:spacing w:before="120" w:after="0"/>
        <w:jc w:val="left"/>
        <w:rPr>
          <w:rFonts w:ascii="Times New Roman" w:hAnsi="Times New Roman"/>
          <w:sz w:val="20"/>
        </w:rPr>
      </w:pPr>
      <w:r>
        <w:rPr>
          <w:rFonts w:ascii="Times New Roman" w:hAnsi="Times New Roman"/>
          <w:sz w:val="20"/>
        </w:rPr>
        <w:t xml:space="preserve">(a) All outstanding and unexercised Options as of the time the Participant is notified his or her service is terminated for Cause will immediately be forfeited. </w:t>
      </w:r>
    </w:p>
    <w:p>
      <w:pPr>
        <w:pStyle w:val="TextBody"/>
        <w:bidi w:val="0"/>
        <w:spacing w:before="120" w:after="0"/>
        <w:jc w:val="left"/>
        <w:rPr>
          <w:rFonts w:ascii="Times New Roman" w:hAnsi="Times New Roman"/>
          <w:sz w:val="20"/>
        </w:rPr>
      </w:pPr>
      <w:r>
        <w:rPr>
          <w:rFonts w:ascii="Times New Roman" w:hAnsi="Times New Roman"/>
          <w:sz w:val="20"/>
        </w:rPr>
        <w:t xml:space="preserve">(b) 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OPTIONS OF TERMINATION OF SERVICE FOR DISABILITY.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(a) A Participant who ceases to be an Employee, director or Consultant of the Company or of an Affiliate by reason of Disability may exercise any Option granted to such Participant: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Option has become exercisable but has not been exercised on the date of the Participant’s termination of service due to Disability;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 For Options granted to California Participants, a Participant may exercise such rights for at least six (6) months from the date of termination of service due to Disability.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OPTIONS OF DEATH WHILE AN EMPLOYEE, DIRECTOR OR</w:t>
            </w:r>
            <w:r>
              <w:rPr>
                <w:rFonts w:ascii="Times New Roman" w:hAnsi="Times New Roman"/>
                <w:sz w:val="20"/>
              </w:rPr>
              <w:t xml:space="preserve"> </w:t>
            </w:r>
            <w:r>
              <w:rPr>
                <w:rFonts w:ascii="Times New Roman" w:hAnsi="Times New Roman"/>
                <w:sz w:val="20"/>
                <w:u w:val="single"/>
              </w:rPr>
              <w:t>CONSULTANT.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the death of a Participant while the Participant is an Employee, director or Consultant of the Company or of an Affiliate, such Option may be exercised by the Participant’s Survivors: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Option has become exercisable but has not been exercised on the date of death;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 For Options granted to California Participants, the Participant’s Survivors must be allowed to take all necessary steps to exercise the Option for at least six (6) months from the date of death of such Participant.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OF TERMINATION OF SERVICE ON STOCK GRANTS AND</w:t>
            </w:r>
            <w:r>
              <w:rPr>
                <w:rFonts w:ascii="Times New Roman" w:hAnsi="Times New Roman"/>
                <w:sz w:val="20"/>
              </w:rPr>
              <w:t xml:space="preserve"> </w:t>
            </w:r>
            <w:r>
              <w:rPr>
                <w:rFonts w:ascii="Times New Roman" w:hAnsi="Times New Roman"/>
                <w:sz w:val="20"/>
                <w:u w:val="single"/>
              </w:rPr>
              <w:t>STOCK-BASED AWARDS.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of service (whether as an Employee, director or Consultant) with the Company or an Affiliate for any reason before the Participant has accepted a Stock Grant or a Stock-Based Award and paid the purchase price, if required, such grant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STOCK GRANTS OF TERMINATION OF SERVICE OTHER</w:t>
            </w:r>
            <w:r>
              <w:rPr>
                <w:rFonts w:ascii="Times New Roman" w:hAnsi="Times New Roman"/>
                <w:sz w:val="20"/>
              </w:rPr>
              <w:t xml:space="preserve"> </w:t>
            </w:r>
            <w:r>
              <w:rPr>
                <w:rFonts w:ascii="Times New Roman" w:hAnsi="Times New Roman"/>
                <w:sz w:val="20"/>
                <w:u w:val="single"/>
              </w:rPr>
              <w:t>THAN FOR CAUSE OR DEATH OR DISABILITY.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STOCK GRANTS OF TERMINATION OF SERVICE FOR</w:t>
            </w:r>
            <w:r>
              <w:rPr>
                <w:rFonts w:ascii="Times New Roman" w:hAnsi="Times New Roman"/>
                <w:sz w:val="20"/>
              </w:rPr>
              <w:t xml:space="preserve"> </w:t>
            </w:r>
            <w:r>
              <w:rPr>
                <w:rFonts w:ascii="Times New Roman" w:hAnsi="Times New Roman"/>
                <w:sz w:val="20"/>
                <w:u w:val="single"/>
              </w:rPr>
              <w:t>CAUSE.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Stock Grant Agreement, the following rules apply if the Participant’s service (whether as an Employee, director or Consultant) with the Company or an Affiliate is terminated for Cause: </w:t>
      </w:r>
    </w:p>
    <w:p>
      <w:pPr>
        <w:pStyle w:val="TextBody"/>
        <w:bidi w:val="0"/>
        <w:spacing w:before="120" w:after="0"/>
        <w:jc w:val="left"/>
        <w:rPr>
          <w:rFonts w:ascii="Times New Roman" w:hAnsi="Times New Roman"/>
          <w:sz w:val="20"/>
        </w:rPr>
      </w:pPr>
      <w:r>
        <w:rPr>
          <w:rFonts w:ascii="Times New Roman" w:hAnsi="Times New Roman"/>
          <w:sz w:val="20"/>
        </w:rPr>
        <w:t xml:space="preserve">(a) All Shares subject to any Stock Grant whether or not then subject to forfeiture or repurchase shall be immediately subject to repurchase by the Company at the lesser of Fair Market Value or the purchase price, thereof. </w:t>
      </w:r>
    </w:p>
    <w:p>
      <w:pPr>
        <w:pStyle w:val="TextBody"/>
        <w:bidi w:val="0"/>
        <w:spacing w:before="120" w:after="0"/>
        <w:jc w:val="left"/>
        <w:rPr>
          <w:rFonts w:ascii="Times New Roman" w:hAnsi="Times New Roman"/>
          <w:sz w:val="20"/>
        </w:rPr>
      </w:pPr>
      <w:r>
        <w:rPr>
          <w:rFonts w:ascii="Times New Roman" w:hAnsi="Times New Roman"/>
          <w:sz w:val="20"/>
        </w:rPr>
        <w:t xml:space="preserve">(b) 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the Company’s right to repurchase all of such Participant’s Shares shall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STOCK GRANTS OF TERMINATION OF SERVICE FOR</w:t>
            </w:r>
            <w:r>
              <w:rPr>
                <w:rFonts w:ascii="Times New Roman" w:hAnsi="Times New Roman"/>
                <w:sz w:val="20"/>
              </w:rPr>
              <w:t xml:space="preserve"> </w:t>
            </w:r>
            <w:r>
              <w:rPr>
                <w:rFonts w:ascii="Times New Roman" w:hAnsi="Times New Roman"/>
                <w:sz w:val="20"/>
                <w:u w:val="single"/>
              </w:rPr>
              <w:t>DISABILITY.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ON STOCK GRANTS OF DEATH WHILE AN EMPLOYEE,</w:t>
            </w:r>
            <w:r>
              <w:rPr>
                <w:rFonts w:ascii="Times New Roman" w:hAnsi="Times New Roman"/>
                <w:sz w:val="20"/>
              </w:rPr>
              <w:t xml:space="preserve"> </w:t>
            </w:r>
            <w:r>
              <w:rPr>
                <w:rFonts w:ascii="Times New Roman" w:hAnsi="Times New Roman"/>
                <w:sz w:val="20"/>
                <w:u w:val="single"/>
              </w:rPr>
              <w:t>DIRECTOR OR CONSULTANT.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PURCHASE FOR INVESTMENT.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the offering and sale of the Shares shall have been effectively registered under the Securities Act, the Company shall be under no obligation to issue Shares under the Plan unless and until the following conditions have been fulfilled: </w:t>
      </w:r>
    </w:p>
    <w:p>
      <w:pPr>
        <w:pStyle w:val="TextBody"/>
        <w:bidi w:val="0"/>
        <w:spacing w:before="120" w:after="0"/>
        <w:jc w:val="left"/>
        <w:rPr>
          <w:rFonts w:ascii="Times New Roman" w:hAnsi="Times New Roman"/>
          <w:sz w:val="20"/>
        </w:rPr>
      </w:pPr>
      <w:r>
        <w:rPr>
          <w:rFonts w:ascii="Times New Roman" w:hAnsi="Times New Roman"/>
          <w:sz w:val="20"/>
        </w:rPr>
        <w:t xml:space="preserve">(a) 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w:t>
      </w:r>
    </w:p>
    <w:p>
      <w:pPr>
        <w:pStyle w:val="TextBody"/>
        <w:bidi w:val="0"/>
        <w:spacing w:before="240" w:after="0"/>
        <w:jc w:val="left"/>
        <w:rPr/>
      </w:pPr>
      <w:r>
        <w:rPr/>
        <w:t>“</w:t>
      </w:r>
      <w:r>
        <w:rPr>
          <w:rFonts w:ascii="Times New Roman" w:hAnsi="Times New Roman"/>
          <w:sz w:val="20"/>
        </w:rPr>
        <w:t xml:space="preserve">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(b) At the discretion of the Administrator, the Company shall have received an opinion of its counsel that the Shares may be issued in compliance with the Securities Act without registration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DISSOLUTION OR LIQUIDATION OF THE COMPANY.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any of the following events, a Participant’s rights with respect to any Stock Right granted to him or her hereunder shall be adjusted as hereinafter provided, unless otherwise specifically provided in a Participant’s Agreement: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Stock Splits</w:t>
      </w:r>
      <w:r>
        <w:rPr>
          <w:rFonts w:ascii="Times New Roman" w:hAnsi="Times New Roman"/>
          <w:sz w:val="20"/>
        </w:rPr>
        <w:t xml:space="preserve">.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shall also be proportionately adjusted upon the occurrence of such events.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Corporate Transactions</w:t>
      </w:r>
      <w:r>
        <w:rPr>
          <w:rFonts w:ascii="Times New Roman" w:hAnsi="Times New Roman"/>
          <w:sz w:val="20"/>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hAnsi="Times New Roman"/>
          <w:sz w:val="20"/>
          <w:u w:val="single"/>
        </w:rPr>
        <w:t>less the aggregate</w:t>
      </w:r>
      <w:r>
        <w:rPr>
          <w:rFonts w:ascii="Times New Roman" w:hAnsi="Times New Roman"/>
          <w:sz w:val="20"/>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comprising such Stock Grant (to the extent such Stock Grant is no longer subject to any forfeiture or repurchase rights then in effect or, at the discretion of the Administrator, all forfeiture and repurchase rights being waived upon such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taking any of the actions permitted under this Paragraph 24(b), the Administrator shall not be obligated by the Plan to treat all Stock Rights, all Stock Rights held by a Participant, or all Stock Rights of the same type, identically.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Recapitalization or Reorganization</w:t>
      </w:r>
      <w:r>
        <w:rPr>
          <w:rFonts w:ascii="Times New Roman" w:hAnsi="Times New Roman"/>
          <w:sz w:val="20"/>
        </w:rPr>
        <w:t xml:space="preserve">.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Adjustments to Stock-Based Awards</w:t>
      </w:r>
      <w:r>
        <w:rPr>
          <w:rFonts w:ascii="Times New Roman" w:hAnsi="Times New Roman"/>
          <w:sz w:val="20"/>
        </w:rPr>
        <w:t xml:space="preserve">.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Modification of Options</w:t>
      </w:r>
      <w:r>
        <w:rPr>
          <w:rFonts w:ascii="Times New Roman" w:hAnsi="Times New Roman"/>
          <w:sz w:val="20"/>
        </w:rPr>
        <w:t xml:space="preserve">.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ISSUANCES OF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FRACTIONAL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fractional shares shall be issued under the Plan and the person exercising a Stock Right shall receive from the Company cash in lieu of such fractional shares equal to the Fair Market Value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CONVERSION OF ISOs INTO NON-QUALIFIED OPTIONS; TERMINATION</w:t>
            </w:r>
            <w:r>
              <w:rPr>
                <w:rFonts w:ascii="Times New Roman" w:hAnsi="Times New Roman"/>
                <w:sz w:val="20"/>
              </w:rPr>
              <w:t xml:space="preserve"> </w:t>
            </w:r>
            <w:r>
              <w:rPr>
                <w:rFonts w:ascii="Times New Roman" w:hAnsi="Times New Roman"/>
                <w:sz w:val="20"/>
                <w:u w:val="single"/>
              </w:rPr>
              <w:t>OF ISOs.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WITHHOLDING.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 TO COMPANY OF DISQUALIFYING DISPOSITION.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Employee who receives an ISO must agree to notify the Company in writing immediately after the Employee makes a Disqualifying Disposition of any Shares acquired pursuant to the exercise of an ISO. A Disqualifying Disposition is defined in Section 424(c)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TERMINATION OF THE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will terminate on April 1, 2023, the date which is ten years from the </w:t>
      </w:r>
      <w:r>
        <w:rPr>
          <w:rFonts w:ascii="Times New Roman" w:hAnsi="Times New Roman"/>
          <w:sz w:val="20"/>
          <w:u w:val="single"/>
        </w:rPr>
        <w:t>earlier</w:t>
      </w:r>
      <w:r>
        <w:rPr>
          <w:rFonts w:ascii="Times New Roman" w:hAnsi="Times New Roman"/>
          <w:sz w:val="20"/>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OF THE PLAN AND AGREEMENTS.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EMPLOYMENT OR OTHER RELATIONSHIP.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Plan shall be construed and enforced in accordance with the law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right"/>
        <w:rPr>
          <w:rFonts w:ascii="Times New Roman" w:hAnsi="Times New Roman"/>
          <w:b/>
          <w:sz w:val="20"/>
        </w:rPr>
      </w:pPr>
      <w:bookmarkStart w:id="11" w:name="d139629dex996.htm"/>
      <w:bookmarkStart w:id="12" w:name="ksd139629dex996"/>
      <w:bookmarkEnd w:id="11"/>
      <w:bookmarkEnd w:id="12"/>
      <w:r>
        <w:rPr>
          <w:rFonts w:ascii="Times New Roman" w:hAnsi="Times New Roman"/>
          <w:b/>
          <w:sz w:val="20"/>
        </w:rPr>
        <w:t xml:space="preserve">Exhibit 99.6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ORPHAI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STOCK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Establishment, Purpose and Types of Awards </w:t>
            </w:r>
          </w:p>
        </w:tc>
      </w:tr>
    </w:tbl>
    <w:p>
      <w:pPr>
        <w:pStyle w:val="TextBody"/>
        <w:bidi w:val="0"/>
        <w:spacing w:before="120" w:after="0"/>
        <w:jc w:val="left"/>
        <w:rPr>
          <w:rFonts w:ascii="Times New Roman" w:hAnsi="Times New Roman"/>
          <w:sz w:val="20"/>
        </w:rPr>
      </w:pPr>
      <w:r>
        <w:rPr>
          <w:rFonts w:ascii="Times New Roman" w:hAnsi="Times New Roman"/>
          <w:sz w:val="20"/>
        </w:rPr>
        <w:t>OrphAI Therapeutics Inc., a Delaware corporation (the “</w:t>
      </w:r>
      <w:r>
        <w:rPr>
          <w:rFonts w:ascii="Times New Roman" w:hAnsi="Times New Roman"/>
          <w:i/>
          <w:sz w:val="20"/>
        </w:rPr>
        <w:t>Company</w:t>
      </w:r>
      <w:r>
        <w:rPr>
          <w:rFonts w:ascii="Times New Roman" w:hAnsi="Times New Roman"/>
          <w:sz w:val="20"/>
        </w:rPr>
        <w:t>”), hereby establishes the ORPHAI THERAPEUTICS INC. 2026 STOCK INCENTIVE PLAN (the “</w:t>
      </w:r>
      <w:r>
        <w:rPr>
          <w:rFonts w:ascii="Times New Roman" w:hAnsi="Times New Roman"/>
          <w:i/>
          <w:sz w:val="20"/>
        </w:rPr>
        <w:t>Plan</w:t>
      </w:r>
      <w:r>
        <w:rPr>
          <w:rFonts w:ascii="Times New Roman" w:hAnsi="Times New Roman"/>
          <w:sz w:val="20"/>
        </w:rPr>
        <w:t xml:space="preserve">”). The purpose of the Plan is to promote the long-term growth and profitability of the Company by (i) providing key people with incentives to improve stockholder value and to contribute to the growth and financial success of the Company through their future services, and (ii) enabling the Company to attract, retain and reward the best-available persons. </w:t>
      </w:r>
    </w:p>
    <w:p>
      <w:pPr>
        <w:pStyle w:val="TextBody"/>
        <w:bidi w:val="0"/>
        <w:spacing w:before="240" w:after="0"/>
        <w:jc w:val="left"/>
        <w:rPr>
          <w:rFonts w:ascii="Times New Roman" w:hAnsi="Times New Roman"/>
          <w:sz w:val="20"/>
        </w:rPr>
      </w:pPr>
      <w:r>
        <w:rPr>
          <w:rFonts w:ascii="Times New Roman" w:hAnsi="Times New Roman"/>
          <w:sz w:val="20"/>
        </w:rPr>
        <w:t xml:space="preserve">The Plan permits the granting of stock options (including incentive stock options qualifying under Section 422 of the Code and nonqualified stock options), stock appreciation rights, restricted or unrestricted stock awards, phantom stock, restricted stock units, performance awards, other stock-based awards, or any combination of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this Plan, except where the context otherwise indicates, the following definitions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Administrator”</w:t>
      </w:r>
      <w:r>
        <w:rPr>
          <w:rFonts w:ascii="Times New Roman" w:hAnsi="Times New Roman"/>
          <w:sz w:val="20"/>
        </w:rPr>
        <w:t xml:space="preserve"> means the Board or the committee(s) or officer(s) appointed by the Board that have authority to administer the Plan as provided in Section 3 hereof.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Affiliate”</w:t>
      </w:r>
      <w:r>
        <w:rPr>
          <w:rFonts w:ascii="Times New Roman" w:hAnsi="Times New Roman"/>
          <w:sz w:val="20"/>
        </w:rPr>
        <w:t xml:space="preserve"> means any entity, whether now or hereafter existing, which controls, is controlled by, or is under common control with, the Company (including, but not limited to, joint ventures, limited liability companies, and partnerships). For this purpose, “</w:t>
      </w:r>
      <w:r>
        <w:rPr>
          <w:rFonts w:ascii="Times New Roman" w:hAnsi="Times New Roman"/>
          <w:i/>
          <w:sz w:val="20"/>
        </w:rPr>
        <w:t>control</w:t>
      </w:r>
      <w:r>
        <w:rPr>
          <w:rFonts w:ascii="Times New Roman" w:hAnsi="Times New Roman"/>
          <w:sz w:val="20"/>
        </w:rPr>
        <w:t xml:space="preserve">” shall mean ownership of more than 50% of the total combined voting power or value of all classes of stock or interests of the entity, or the power to direct the management and policies of the entity, by contract or otherwise.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 xml:space="preserve">Award” </w:t>
      </w:r>
      <w:r>
        <w:rPr>
          <w:rFonts w:ascii="Times New Roman" w:hAnsi="Times New Roman"/>
          <w:sz w:val="20"/>
        </w:rPr>
        <w:t xml:space="preserve">means any stock option, stock appreciation right, stock award, phantom stock award, restricted stock unit award, performance award, or other stock-based award.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 xml:space="preserve">Change in Control” </w:t>
      </w:r>
      <w:r>
        <w:rPr>
          <w:rFonts w:ascii="Times New Roman" w:hAnsi="Times New Roman"/>
          <w:sz w:val="20"/>
        </w:rPr>
        <w:t>means: (i) the acquisition (other than from the Company) by any Person, as defined in this Section 2(e), of the beneficial ownership (within the meaning of Rule 13d-3 promulgated under the Securities Exchange Act of 1934, as amended) of more than 50% of (A) the then outstanding shares of the securities of the Company, or (B) the combined voting power of the then outstanding securities of the Company entitled to vote generally in the election of directors (the “</w:t>
      </w:r>
      <w:r>
        <w:rPr>
          <w:rFonts w:ascii="Times New Roman" w:hAnsi="Times New Roman"/>
          <w:i/>
          <w:sz w:val="20"/>
        </w:rPr>
        <w:t>Company Voting Stock</w:t>
      </w:r>
      <w:r>
        <w:rPr>
          <w:rFonts w:ascii="Times New Roman" w:hAnsi="Times New Roman"/>
          <w:sz w:val="20"/>
        </w:rPr>
        <w:t xml:space="preserve">”); (ii) the closing of a sale or other conveyance of all or substantially all of the assets of the Company; or (iii) the effective time of any merger, share exchange, consolidation, or other business combination involving the Company if immediately after such transaction persons who hold a majority of the outstanding voting securities entitled to vote generally in the election of directors of the surviving entity (or the entity owning 100% of such surviving entity) are not persons who, immediately prior to such transaction, held the Company Voting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Change in Control shall not include (X) any consolidation or merger effected exclusively to change the domicile of the Company, (Y) any transaction or series of transactions principally for bona fide equity financing purposes in which cash is received by the Company or indebtedness of the Company is cancelled or converted or a combination thereof, or (Z) a public offering of capital stock of the Company;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for purposes of any Award or subplan that constitutes a “nonqualified deferred compensation plan,” within the meaning of Section 409A of the Code, the Administrator, in its discretion, may specify a different definition of Change in Control in order to comply with or cause an Award to be exempt from the provisions of Section 409A of the Code. For purposes of this Section 2(e), a “</w:t>
      </w:r>
      <w:r>
        <w:rPr>
          <w:rFonts w:ascii="Times New Roman" w:hAnsi="Times New Roman"/>
          <w:i/>
          <w:sz w:val="20"/>
        </w:rPr>
        <w:t>Person</w:t>
      </w:r>
      <w:r>
        <w:rPr>
          <w:rFonts w:ascii="Times New Roman" w:hAnsi="Times New Roman"/>
          <w:sz w:val="20"/>
        </w:rPr>
        <w:t xml:space="preserve">” means any individual, entity or group within the meaning of Section 13(d)(3) or 14(d)(2) of the Securities Exchange Act of 1934, as amended, other than: employee benefit plans sponsored or maintained by the Company and by entities controlled by the Company or an underwriter of the Common Stock in a registered public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i/>
          <w:sz w:val="20"/>
        </w:rPr>
        <w:t xml:space="preserve">Code” </w:t>
      </w:r>
      <w:r>
        <w:rPr>
          <w:rFonts w:ascii="Times New Roman" w:hAnsi="Times New Roman"/>
          <w:sz w:val="20"/>
        </w:rPr>
        <w:t xml:space="preserve">means the Internal Revenue Code of 1986, as amended, and any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 xml:space="preserve">Common Stock” </w:t>
      </w:r>
      <w:r>
        <w:rPr>
          <w:rFonts w:ascii="Times New Roman" w:hAnsi="Times New Roman"/>
          <w:sz w:val="20"/>
        </w:rPr>
        <w:t xml:space="preserve">means shares of common stock of the Company.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Fair Market Value</w:t>
      </w:r>
      <w:r>
        <w:rPr>
          <w:rFonts w:ascii="Times New Roman" w:hAnsi="Times New Roman"/>
          <w:sz w:val="20"/>
        </w:rPr>
        <w:t xml:space="preserve">” means, with respect to the Common Stock, as of any date: </w:t>
      </w:r>
    </w:p>
    <w:p>
      <w:pPr>
        <w:pStyle w:val="TextBody"/>
        <w:bidi w:val="0"/>
        <w:spacing w:before="120" w:after="0"/>
        <w:jc w:val="left"/>
        <w:rPr>
          <w:rFonts w:ascii="Times New Roman" w:hAnsi="Times New Roman"/>
          <w:sz w:val="20"/>
        </w:rPr>
      </w:pPr>
      <w:r>
        <w:rPr>
          <w:rFonts w:ascii="Times New Roman" w:hAnsi="Times New Roman"/>
          <w:sz w:val="20"/>
        </w:rPr>
        <w:t xml:space="preserve">(i) if the principal market for the Common Stock (as determined by the Administrator if the Common Stock is listed or admitted to trading on more than one exchange or market) is a national securities exchange or an established securities market, the official closing price per share of Common Stock for the regular market session on that date on the principal exchange or market on which the Common Stock is then listed or admitted to trading or, if no sale is reported for that date, on the last preceding day for which a sale was reported; </w:t>
      </w:r>
    </w:p>
    <w:p>
      <w:pPr>
        <w:pStyle w:val="TextBody"/>
        <w:bidi w:val="0"/>
        <w:spacing w:before="120" w:after="0"/>
        <w:jc w:val="left"/>
        <w:rPr>
          <w:rFonts w:ascii="Times New Roman" w:hAnsi="Times New Roman"/>
          <w:sz w:val="20"/>
        </w:rPr>
      </w:pPr>
      <w:r>
        <w:rPr>
          <w:rFonts w:ascii="Times New Roman" w:hAnsi="Times New Roman"/>
          <w:sz w:val="20"/>
        </w:rPr>
        <w:t xml:space="preserve">(ii) if the principal market for the Common Stock is not a national securities exchange or an established securities market, the average of the highest bid and lowest asked prices for the Common Stock on that date as reported on a national quotation system or, if no prices are reported for that date, on the last preceding day for which prices were reported; or </w:t>
      </w:r>
    </w:p>
    <w:p>
      <w:pPr>
        <w:pStyle w:val="TextBody"/>
        <w:bidi w:val="0"/>
        <w:spacing w:before="120" w:after="0"/>
        <w:jc w:val="left"/>
        <w:rPr>
          <w:rFonts w:ascii="Times New Roman" w:hAnsi="Times New Roman"/>
          <w:sz w:val="20"/>
        </w:rPr>
      </w:pPr>
      <w:r>
        <w:rPr>
          <w:rFonts w:ascii="Times New Roman" w:hAnsi="Times New Roman"/>
          <w:sz w:val="20"/>
        </w:rPr>
        <w:t xml:space="preserve">(iii) if the Common Stock is neither listed or admitted to trading on a national securities exchange or an established securities market, nor quoted by a national quotation system, the value determined by the Administrator in good faith by the reasonable application of a reasonable valuation method.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Grant Agreement”</w:t>
      </w:r>
      <w:r>
        <w:rPr>
          <w:rFonts w:ascii="Times New Roman" w:hAnsi="Times New Roman"/>
          <w:sz w:val="20"/>
        </w:rPr>
        <w:t xml:space="preserve"> means a written document, including an electronic writing acceptable to the Administrator, memorializing the terms and conditions of an Award granted pursuant to the Plan and which shall incorporate the terms of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Administration of the Plan.</w:t>
      </w:r>
      <w:r>
        <w:rPr>
          <w:rFonts w:ascii="Times New Roman" w:hAnsi="Times New Roman"/>
          <w:sz w:val="20"/>
        </w:rPr>
        <w:t xml:space="preserve"> The Plan shall be administered by the Board or by such committee or committees as may be appointed by the Board from time to time. To the extent allowed by applicable state law, the Board by resolution may authorize an officer or officers to grant Awards to other officers and employees of the Company and its Affiliates, and, to the extent of such authorization, such officer or officers shall be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Powers of the Administrator</w:t>
      </w:r>
      <w:r>
        <w:rPr>
          <w:rFonts w:ascii="Times New Roman" w:hAnsi="Times New Roman"/>
          <w:sz w:val="20"/>
        </w:rPr>
        <w:t xml:space="preserve">. The Administrator shall have all the powers vested in it by the terms of the Plan, such powers to include authority, in its sole and absolute discretion, to grant Awards under the Plan, prescribe Grant Agreements evidencing such Awards and establish programs for granting Awards.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shall have full power and authority to take all other actions necessary to carry out the purpose and intent of the Plan, including, but not limited to, the authority to: (i) determine the eligible persons to whom, and the time or times at which Awards shall be granted; (ii) determine the types of Awards to be granted; (iii) determine the number of shares to be covered by or used for reference purposes for each Award; (iv) impose such terms, limitations, restrictions and conditions upon any such Award as the Administrator shall deem appropriate; (v) modify, amend, extend or renew outstanding Awards, or accept the surrender of outstanding Awards and substitute new Awards; provided, however, that, except as otherwise permitted under Section 7(d) of the Plan, any modification, amendment, extension, renewal or substitution that would materially adversely affect any outstanding Award shall not be made without the consent of the holder (but if any of the foregoing actions results in a change in the tax consequences with respect to an Award such change shall not be considered to be a material adverse effect on the Award); (vi) accelerate or otherwise change the time in which an Award may be exercised or becomes payable and to waive or accelerate the lapse, in whole or in part,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restriction or condition with respect to such Award, including, but not limited to, any restriction or condition with respect to the vesting or exercisability of an Award following termination of any grantee’s employment or other relationship with the Company; (vii) establish objectives and conditions, if any, for earning Awards and determining whether Awards will be paid with respect to a performance period; and (viii) for any purpose, including, but not limited to, qualifying for preferred tax treatment under foreign tax laws or otherwise complying with the regulatory requirements of local or foreign jurisdictions, to establish, amend, modify, administer or terminate sub-plans, and prescribe, amend and rescind rules and regulations relating to such sub-plans.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shall have full power and authority, in its sole and absolute discretion, to administer, construe and interpret the Plan, Grant Agreements and all other documents relevant to the Plan and Awards issued thereunder, to establish, amend, rescind and interpret such rules, regulations, agreements, guidelines and instruments for the administration of the Plan and for the conduct of its business as the Administrator deems necessary or advisable, and to correct any defect, supply any omission or reconcile any inconsistency in the Plan or in any Award in the manner and to the extent the Administrator shall deem it desirable to carry it into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Non-Uniform Determinations</w:t>
      </w:r>
      <w:r>
        <w:rPr>
          <w:rFonts w:ascii="Times New Roman" w:hAnsi="Times New Roman"/>
          <w:sz w:val="20"/>
        </w:rPr>
        <w:t xml:space="preserve">. The Administrator’s determinations under the Plan (including, without limitation, determinations of the persons to receive Awards, the form, amount and timing of such Awards, the terms and provisions of such Awards including the Grant Agreements evidencing such Awards, and the treatment of Awards in a Change in Control) need not be uniform and may be made by the Administrator selectively among Awards or persons who receive, or are eligible to receive, Awards under the Plan, whether or not such persons are similarly situated.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Limited Liability. </w:t>
      </w:r>
      <w:r>
        <w:rPr>
          <w:rFonts w:ascii="Times New Roman" w:hAnsi="Times New Roman"/>
          <w:sz w:val="20"/>
        </w:rPr>
        <w:t xml:space="preserve">To the maximum extent permitted by law, no member of the Administrator shall be liable for any action taken or decision made in good faith relating to the Plan or any Award thereunder.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Indemnification</w:t>
      </w:r>
      <w:r>
        <w:rPr>
          <w:rFonts w:ascii="Times New Roman" w:hAnsi="Times New Roman"/>
          <w:sz w:val="20"/>
        </w:rPr>
        <w:t xml:space="preserve">. To the maximum extent permitted by law and by the Company’s charter and by-laws, the members of the Administrator shall be indemnified by the Company in respect of all their activities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Effect of Administrator’s Decision</w:t>
      </w:r>
      <w:r>
        <w:rPr>
          <w:rFonts w:ascii="Times New Roman" w:hAnsi="Times New Roman"/>
          <w:sz w:val="20"/>
        </w:rPr>
        <w:t xml:space="preserve">. All actions taken and decisions and determinations made by the Administrator on all matters relating to the Plan pursuant to the powers vested in it hereunder shall be in the Administrator’s sole and absolute discretion and shall be conclusive and binding on all parties concerned, including the Company, its stockholders, any participants in the Plan and any other employee, consultant, or director of the Company, and their respective successors in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Available for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adjustments as provided in Section 7(d) of the Plan, the shares of Common Stock that may be issued with respect to Awards granted under the Plan shall not exceed an aggregate of 6,832,554 shares of Common Stock. The Company shall reserve such number of shares for Awards under the Plan, subject to adjustments as provided in Section 7(d) of the Plan. If any Award, or portion of an Award, under the Plan expires or terminates unexercised, becomes unexercisable, is settled in cash without delivery of shares of Common Stock, or is forfeited or otherwise terminated, surrendered or canceled as to any shares, or if any shares of Common Stock are repurchased by or surrendered to the Company in connection with any Award, or if any shares are withheld by the Company, the shares subject to such Award and the repurchased, surrendered and withheld shares shall thereafter be available for further Awards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Subject to adjustments as provided in Section 7(d) of the Plan, the maximum aggregate number of shares of Common Stock that may be issued under the Plan pursuant to the exercise of incentive stock options under the provisions of Section 422 of the Code shall not exceed 6,832,554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Participation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Participation in the Plan shall be open to all employees, officers, and directors of, and other individuals or entities providing bona fide services to or for, the Company, or any Affiliate of the Company, as may be selected by the Administrator from time to time. The Administrator may also grant Awards to individuals in connection with hiring, recruiting or otherwise, prior to the date the individual first performs services for the Company or an Affiliate, provided that such Awards shall not become vested or exercisable, and no shares shall be issued to such individual, prior to the date the individual first commences performance of such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in its sole discretion, establishes the terms of all Awards granted under the Plan. Awards may be granted individually or in tandem with other types of Awards, concurrently with or with respect to outstanding Awards. All Awards are subject to the terms and conditions provided in the Grant Agreement.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 Options.</w:t>
      </w:r>
      <w:r>
        <w:rPr>
          <w:rFonts w:ascii="Times New Roman" w:hAnsi="Times New Roman"/>
          <w:sz w:val="20"/>
        </w:rPr>
        <w:t xml:space="preserve"> The Administrator may from time to time grant to eligible participants Awards of incentive stock options as that term is defined in Section 422 of the Code or nonqualified stock options;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Awards of incentive stock options shall be limited to employees of the Company or of any current or hereafter existing “</w:t>
      </w:r>
      <w:r>
        <w:rPr>
          <w:rFonts w:ascii="Times New Roman" w:hAnsi="Times New Roman"/>
          <w:i/>
          <w:sz w:val="20"/>
        </w:rPr>
        <w:t>parent corporation</w:t>
      </w:r>
      <w:r>
        <w:rPr>
          <w:rFonts w:ascii="Times New Roman" w:hAnsi="Times New Roman"/>
          <w:sz w:val="20"/>
        </w:rPr>
        <w:t>” or “</w:t>
      </w:r>
      <w:r>
        <w:rPr>
          <w:rFonts w:ascii="Times New Roman" w:hAnsi="Times New Roman"/>
          <w:i/>
          <w:sz w:val="20"/>
        </w:rPr>
        <w:t>subsidiary corporation</w:t>
      </w:r>
      <w:r>
        <w:rPr>
          <w:rFonts w:ascii="Times New Roman" w:hAnsi="Times New Roman"/>
          <w:sz w:val="20"/>
        </w:rPr>
        <w:t xml:space="preserve">,” as defined in Sections 424(e) and (f) of the Code, respectively, of the Company and any other individuals who are eligible to receive incentive stock options under the provisions of Section 422 of the Code. Options intended to qualify as incentive stock options under Section 422 of the Code must have an exercise price at least equal to Fair Market Value as of the date of grant. Nonqualified stock options may be granted with an exercise price less than Fair Market Value as of the date of grant only if they are drafted to comply with Section 409A of the Code or otherwise satisfy an exemption therefrom. Options may not have a term longer than ten years. No stock option shall be an incentive stock option unless so designated by the Administrator at the time of grant or in the Grant Agreement evidencing such stock option. If for any reason an option intended to be an incentive stock option under Section 422 of the Code does not qualify as such, the option will be treated as a nonqualified stock option.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Stock Appreciation Rights. </w:t>
      </w:r>
      <w:r>
        <w:rPr>
          <w:rFonts w:ascii="Times New Roman" w:hAnsi="Times New Roman"/>
          <w:sz w:val="20"/>
        </w:rPr>
        <w:t>The Administrator may from time to time grant to eligible participants Awards of stock appreciation rights (each, a “</w:t>
      </w:r>
      <w:r>
        <w:rPr>
          <w:rFonts w:ascii="Times New Roman" w:hAnsi="Times New Roman"/>
          <w:i/>
          <w:sz w:val="20"/>
        </w:rPr>
        <w:t>SAR</w:t>
      </w:r>
      <w:r>
        <w:rPr>
          <w:rFonts w:ascii="Times New Roman" w:hAnsi="Times New Roman"/>
          <w:sz w:val="20"/>
        </w:rPr>
        <w:t xml:space="preserve">”). A SAR entitles the grantee to receive, subject to the provisions of the Plan and the Grant Agreement, a payment having an aggregate value equal to the product of (i) the excess of (A) the Fair Market Value on the exercise date of one share of Common Stock over (B) the base price per share specified in the Grant Agreement, times (ii) the number of shares specified by the SAR, or portion thereof, which is exercised. SARs may be granted with a base price less than Fair Market Value as of the date of grant only if they are drafted to comply with Section 409A of the Code or otherwise satisfy an exemption therefrom. No SAR shall have a term longer than ten years. Payment by the Company of the amount receivable upon any exercise of a SAR may be made by the delivery of Common Stock or cash, or any combination of Common Stock and cash, as determined in the sole discretion of the Administrator. If upon settlement of the exercise of a SAR a grantee is to receive a portion of such payment in shares of Common Stock, the number of shares shall be determined by dividing such portion by the Fair Market Value of a share of Common Stock on the exercise date. No fractional shares shall be used for such payment and the Administrator shall determine whether cash shall be given in lieu of such fractional shares or whether such fractional shares shall be eliminated.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Stock Awards. </w:t>
      </w:r>
      <w:r>
        <w:rPr>
          <w:rFonts w:ascii="Times New Roman" w:hAnsi="Times New Roman"/>
          <w:sz w:val="20"/>
        </w:rPr>
        <w:t xml:space="preserve">The Administrator may from time to time grant restricted or unrestricted stock Awards to eligible participants in such amounts, on such terms and conditions, and for such consideration, including no consideration or such minimum consideration as may be required by law, as it shall determine. A stock Award may be paid in Common Stock, cash, or a combination of Common Stock and cash, as determined in the sole discretion of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Restricted Stock Units.</w:t>
      </w:r>
      <w:r>
        <w:rPr>
          <w:rFonts w:ascii="Times New Roman" w:hAnsi="Times New Roman"/>
          <w:sz w:val="20"/>
        </w:rPr>
        <w:t xml:space="preserve"> The Administrator may from time to time grant Awards to eligible participants denominated in stock-equivalent units or restricted stock units (“</w:t>
      </w:r>
      <w:r>
        <w:rPr>
          <w:rFonts w:ascii="Times New Roman" w:hAnsi="Times New Roman"/>
          <w:i/>
          <w:sz w:val="20"/>
        </w:rPr>
        <w:t>restricted stock units</w:t>
      </w:r>
      <w:r>
        <w:rPr>
          <w:rFonts w:ascii="Times New Roman" w:hAnsi="Times New Roman"/>
          <w:sz w:val="20"/>
        </w:rPr>
        <w:t xml:space="preserve">”) in such amounts and on such terms and conditions as it shall determine. Restricted stock units granted to a participant shall be credited to a bookkeeping reserve account solely for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purposes and shall not require a segregation of any of the Company’s assets. An Award of restricted stock units may be settled in Common Stock, cash, or a combination of Common Stock and cash, as determined in the sole discretion of the Administrator. Except as otherwise provided in the applicable Grant Agreement, the grantee shall not have the rights of a stockholder with respect to any shares of Common Stock represented by a restricted stock unit solely because of the grant of a restricted stock unit to the grantee.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Performance Awards</w:t>
      </w:r>
      <w:r>
        <w:rPr>
          <w:rFonts w:ascii="Times New Roman" w:hAnsi="Times New Roman"/>
          <w:sz w:val="20"/>
        </w:rPr>
        <w:t xml:space="preserve">. The Administrator may, in its discretion, grant performance awards which become payable on account of attainment of one or more performance goals established by the Administrator. Performance awards may be paid by the delivery of Common Stock or cash, or any combination of Common Stock and cash, as determined in the sole discretion of the Administrator. Performance goals established by the Administrator may be based on the Company’s or an Affiliate’s operating income or one or more other business criteria selected by the Administrator that apply to an individual or group of individuals, a business unit, or the Company or an Affiliate as a whole, over such performance period as the Administrator may designate.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Stock-Based Awards.</w:t>
      </w:r>
      <w:r>
        <w:rPr>
          <w:rFonts w:ascii="Times New Roman" w:hAnsi="Times New Roman"/>
          <w:sz w:val="20"/>
        </w:rPr>
        <w:t xml:space="preserve"> The Administrator may from time to time grant other stock-based awards to eligible participants in such amounts, on such terms and conditions, and for such consideration, including no consideration or such minimum consideration as may be required by law, as it shall determine. Other stock-based awards may be denominated in cash, Common Stock or other securities, stock-equivalent units, stock appreciation units, securities or debentures convertible into Common Stock, or any combination of the foregoing and may be paid in Common Stock or other securities, cash, or a combination of Common Stock or other securities and cash, all as determined in the sole discretion of the Administrator.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Withholding of Taxes</w:t>
      </w:r>
      <w:r>
        <w:rPr>
          <w:rFonts w:ascii="Times New Roman" w:hAnsi="Times New Roman"/>
          <w:sz w:val="20"/>
        </w:rPr>
        <w:t xml:space="preserve">. Grantees and holders of Awards shall pay to the Company or its Affiliate, or make provision satisfactory to the Administrator for payment of, any taxes required to be withheld in respect of Awards under the Plan no later than the date of the event creating the tax liability. The Company or its Affiliate may, to the extent permitted by law, deduct any such tax obligations from any payment of any kind otherwise due to the grantee or holder of an Award. If payment to the Company or its Affiliate of such tax obligations is made in shares of Common Stock, such shares shall be valued at Fair Market Value on the applicable date for such purposes and shall not exceed in amount the minimum statutory tax withholding obligation (except as would not create an adverse accounting consequence or cost, if permitted by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Loans</w:t>
      </w:r>
      <w:r>
        <w:rPr>
          <w:rFonts w:ascii="Times New Roman" w:hAnsi="Times New Roman"/>
          <w:sz w:val="20"/>
        </w:rPr>
        <w:t xml:space="preserve">. To the extent otherwise permitted by law, the Company or its Affiliate may make or guarantee loans to grantees to assist grantees in exercising Awards and satisfying any withholding tax obligations.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Transferability</w:t>
      </w:r>
      <w:r>
        <w:rPr>
          <w:rFonts w:ascii="Times New Roman" w:hAnsi="Times New Roman"/>
          <w:sz w:val="20"/>
        </w:rPr>
        <w:t xml:space="preserve">. Except as otherwise determined by the Administrator, and in any event in the case of an incentive stock option or a stock appreciation right granted with respect to an incentive stock option, no Award granted under the Plan shall be transferable by a grantee other than by will or the laws of descent and distribution. Unless otherwise determined by the Administrator in accordance with the provisions of the immediately preceding sentence, an Award may be exercised during the lifetime of the grantee, only by the grantee or, during the period the grantee is under a legal disability, by the grantee’s guardian or legal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Adjustments for Corporate Transactions and Other Events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Stock Dividend, Stock Split and Reverse Stock Split. </w:t>
            </w:r>
            <w:r>
              <w:rPr>
                <w:rFonts w:ascii="Times New Roman" w:hAnsi="Times New Roman"/>
                <w:sz w:val="20"/>
              </w:rPr>
              <w:t xml:space="preserve">In the event of a stock dividend of, or stock split or reverse stock split affecting, the Common Stock, (A) the maximum number of shares of such Common Stock as to which Awards may be granted under this Plan, as provided in Section 4 of the Plan, and (B) the number of shares covered by and the exercise price and other terms of outstanding Awards, shall, without further action of the Board, be adjusted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reflect such event. The Administrator may make adjustments, in its discretion, to address the treatment of fractional shares and fractional cents that arise with respect to outstanding Awards as a result of the stock dividend, stock split or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Non-Change in Control Transactions. </w:t>
            </w:r>
            <w:r>
              <w:rPr>
                <w:rFonts w:ascii="Times New Roman" w:hAnsi="Times New Roman"/>
                <w:sz w:val="20"/>
              </w:rPr>
              <w:t xml:space="preserve">Except with respect to the transactions set forth in Section 7(d)(i), in the event of any change affecting the Common Stock, the Company or its capitalization, by reason of a spin-off, split-up, dividend, recapitalization, merger, consolidation or share exchange, other than any such change that is part of a transaction resulting in a Change in Control of the Company, the Administrator, in its discretion and without the consent of the holders of the Awards, may make (A) appropriate adjustments to the maximum number and kind of shares reserved for issuance or with respect to which Awards may be granted under the Plan, as provided in Section 4 of the Plan; and (B) any adjustments in outstanding Awards, including, but not limited to, modifying the number, kind and price of securities subject to Awards, as the Administrator determines to be appropriate and equitable. In the event of a SPAC transaction (i.e., a merger or other business combination of the Company with a special purpose acquisition company in which post-transaction securities are publicly traded on a national securities exchange), Awards shall be treated in the manner provided in the definitive agreement for such transaction, without consent of any Award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Change in Control Transactions. </w:t>
            </w:r>
            <w:r>
              <w:rPr>
                <w:rFonts w:ascii="Times New Roman" w:hAnsi="Times New Roman"/>
                <w:sz w:val="20"/>
              </w:rPr>
              <w:t xml:space="preserve">In the event of any transaction resulting in a Change in Control of the Company, outstanding stock options and other Awards that are payable in or convertible into Common Stock under this Plan will terminate upon the effective time of such Change in Control unless provision is made in connection with the transaction for the continuation or assumption of such Awards by, or for the substitution of equivalent awards, as determined in the sole discretion of the Administrator, of, the surviving or successor entity or a parent thereof. In the event of such termination, the Administrator may, in its sole discretion, permit the holders of stock options and other Awards under the Plan to exercise or convert all portions of such stock options or other Awards under the Plan that are then exercisable or convertible or which become exercisable or convertible upon or prior to the effective time of the Change in Control, at such time and by such deadline set by the Administrator. The Administrator may, in its discretion, suspend Award exercises as of a date before the anticipated closing of a Change in Control.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Administrator may, in its sole discretion and without the consent of any Award holder, determine that, upon the occurrence of a Change in Control, each or any Award outstanding immediately prior to the Change in Control and not previously exercised or settled shall be canceled in exchange for a payment with respect to each vested share subject to such canceled Award in (I) cash, (II) stock of the Company or of a corporation or other business entity that is a party to the Change in Control, or (III) other property which, in any such case, shall be in an amount having a Fair Market Value equal to the Fair Market Value of the consideration to be paid per share in the Change in Control, reduced (but not below zero) by the exercise or purchase price per share, if any, under such Award. In the event such determination is made by the Administrator, an Award having an exercise or purchase price per share equal to or greater than the Fair Market Value of the consideration to be paid per share in the Change in Control may be canceled without payment of consideration to the holder thereof. The Administrator may require that the holder provide a release of claims as a condition of receipt of any cash-out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portion of the consideration in a Change in Control transaction is deferred or contingent, the Administrator may provide that the Award holders may also receive consideration upon payment of their Awards on a deferred or contingent basis. </w:t>
      </w:r>
    </w:p>
    <w:p>
      <w:pPr>
        <w:pStyle w:val="TextBody"/>
        <w:bidi w:val="0"/>
        <w:spacing w:before="120" w:after="0"/>
        <w:jc w:val="left"/>
        <w:rPr>
          <w:rFonts w:ascii="Times New Roman" w:hAnsi="Times New Roman"/>
          <w:sz w:val="20"/>
        </w:rPr>
      </w:pPr>
      <w:r>
        <w:rPr>
          <w:rFonts w:ascii="Times New Roman" w:hAnsi="Times New Roman"/>
          <w:sz w:val="20"/>
        </w:rPr>
        <w:t xml:space="preserve">If, immediately before the Change in Control, no stock of the Company is readily tradable on an established securities market or otherwise, and the vesting of an Award or Awards would be treated as a “parachute payment” (as defined in Section 280G of the Code), then such Award or Awards shall not vest unless the requirements of the stockholder approval exemption of Section 280G(b)(5) of the Code have been satisfied with respect to such Award or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Unusual or Nonrecurring Events. </w:t>
            </w:r>
            <w:r>
              <w:rPr>
                <w:rFonts w:ascii="Times New Roman" w:hAnsi="Times New Roman"/>
                <w:sz w:val="20"/>
              </w:rPr>
              <w:t xml:space="preserve">The Administrator is authorized to make, in its discretion and without the consent of holders of Awards, adjustments in the terms and conditions of, and the criteria included in, Awards in recognition of unusual or nonrecurring events affecting the Company, or the financial statements of the Company or any Affiliate, or of changes in applicable laws, regulations, or accounting principles, whenever the Administrator determines that such adjustments are appropriate in order to prevent dilution or enlargement of the benefits or potential benefits intended to be made available under the Plan; provided that no such adjustment shall be made in contravention of Section 409A of the Code with respect to any Award that constitutes a deferred compensation arrangement within the meaning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Repricing. </w:t>
            </w:r>
            <w:r>
              <w:rPr>
                <w:rFonts w:ascii="Times New Roman" w:hAnsi="Times New Roman"/>
                <w:sz w:val="20"/>
              </w:rPr>
              <w:t>The Administrator shall have the authority to approve a program providing for either (I) the cancellation of outstanding options or SARs having exercise prices per share greater than the then Fair Market Value of a share of Common Stock (“</w:t>
            </w:r>
            <w:r>
              <w:rPr>
                <w:rFonts w:ascii="Times New Roman" w:hAnsi="Times New Roman"/>
                <w:i/>
                <w:sz w:val="20"/>
              </w:rPr>
              <w:t>Underwater Awards</w:t>
            </w:r>
            <w:r>
              <w:rPr>
                <w:rFonts w:ascii="Times New Roman" w:hAnsi="Times New Roman"/>
                <w:sz w:val="20"/>
              </w:rPr>
              <w:t xml:space="preserve">”) and the grant in substitution therefor of new options or SARs covering the same or a different number of shares but with an exercise price per share equal to the Fair Market Value per share on the new grant date or payments in cash, or (II) the amendment of outstanding Underwater Awards to reduce the exercise price thereof to the Fair Market Value per share on the date of amendment, in either case, without the consent of the Award holder.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Substitution of Awards in Mergers and Acquisitions. </w:t>
      </w:r>
      <w:r>
        <w:rPr>
          <w:rFonts w:ascii="Times New Roman" w:hAnsi="Times New Roman"/>
          <w:sz w:val="20"/>
        </w:rPr>
        <w:t xml:space="preserve">Awards may be granted under the Plan from time to time in substitution for awards held by employees, officers, consultants or directors of entities who become or are about to become employees, officers, consultants or directors of the Company or an Affiliate as the result of a merger or consolidation of the employing entity with the Company or an Affiliate, or the acquisition by the Company or an Affiliate of the assets or stock of the employing entity. The terms and conditions of any substitute Awards so granted may vary from the terms and conditions set forth herein to the extent that the Administrator deems appropriate at the time of grant to conform the substitute Awards to the provisions of the awards for which they are substituted.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Agreements</w:t>
      </w:r>
      <w:r>
        <w:rPr>
          <w:rFonts w:ascii="Times New Roman" w:hAnsi="Times New Roman"/>
          <w:sz w:val="20"/>
        </w:rPr>
        <w:t xml:space="preserve">. As a condition precedent to the grant of any Award under the Plan, the exercise pursuant to such an Award, or to the delivery of certificates for shares issued pursuant to any Award, the Administrator may require the grantee or the grantee’s successor or permitted transferee, as the case may be, to become a party to a stock restriction agreement, stockholders’ agreement, voting trust agreement or other agreements regarding the Common Stock of the Company in such form(s) as the Administrator may determine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Termination, Amendment and Modification of the Plan</w:t>
      </w:r>
      <w:r>
        <w:rPr>
          <w:rFonts w:ascii="Times New Roman" w:hAnsi="Times New Roman"/>
          <w:sz w:val="20"/>
        </w:rPr>
        <w:t xml:space="preserve">. The Board may terminate, amend or modify the Plan or any portion thereof at any time. Except as otherwise determined by the Board, termination of the Plan shall not affect the Administrator’s ability to exercise the powers granted to it hereunder with respect to Awards granted under the Plan prior to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Non-Guarantee of Employment or Service</w:t>
      </w:r>
      <w:r>
        <w:rPr>
          <w:rFonts w:ascii="Times New Roman" w:hAnsi="Times New Roman"/>
          <w:sz w:val="20"/>
        </w:rPr>
        <w:t xml:space="preserve">. Nothing in the Plan or in any Grant Agreement thereunder shall confer any right on an individual to continue in the service of the Company or shall interfere in any way with the right of the Company to terminate such service at any time with or without cause or notice and whether or not such termination results in (i) the failure of any Award to vest; (ii) the forfeiture of any unvested or vested portion of any Award; and/or (iii) any other adverse effect on the individual’s interests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Compliance with Securities Laws; Listing and Registration</w:t>
      </w:r>
      <w:r>
        <w:rPr>
          <w:rFonts w:ascii="Times New Roman" w:hAnsi="Times New Roman"/>
          <w:sz w:val="20"/>
        </w:rPr>
        <w:t xml:space="preserve">. If at any time the Administrator determines that the delivery of Common Stock under the Plan is or may be unlawful under the laws of any applicable jurisdiction, or Federal, state or foreign securities laws, the right to exercise an Award or receive shares of Common Stock pursuant to an Award shall be suspended until the Administrator determines that such delivery is lawful. If at any time the Administrator determines that the delivery of Common Stock under the Plan would or may violate the rules of the national exchange on which the shares are then listed for trade, the right to exercise an Award or receive shares of Common Stock pursuant to an Award shall be suspended until the Administrator determines that such delivery would not violate such rules. The Company shall have no obligation to effect any registration or qualification of the Common Stock under Federal, state or foreign laws.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require that a grantee, as a condition to exercise of an Award, and as a condition to the delivery of any share certificate, make such written representations (including representations to the effect that such person will not dispose of the Common Stock so acquired in violation of Federal, state or foreign securities laws) and furnish such information as may, in the opinion of counsel for the Company, be appropriate to permit the Company to issue the Common Stock in compliance with applicable Federal, state or foreign securities laws. The stock certificates for any shares of Common Stock issued pursuant to this Plan may bear a legend restricting transferability of the shares of Common Stock unless such shares are registered or an exemption from registration is available under the Securities Act of 1933, as amended, and applicable state or foreign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Trust or Fund Created</w:t>
      </w:r>
      <w:r>
        <w:rPr>
          <w:rFonts w:ascii="Times New Roman" w:hAnsi="Times New Roman"/>
          <w:sz w:val="20"/>
        </w:rPr>
        <w:t xml:space="preserve">. Neither the Plan nor any Award shall create or be construed to create a trust or separate fund of any kind or a fiduciary relationship between the Company and a grantee or any other person. To the extent that any grantee or other person acquires a right to receive payments from the Company pursuant to an Award, such right shall be no greater than the right of any unsecured general creditor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Governing Law</w:t>
      </w:r>
      <w:r>
        <w:rPr>
          <w:rFonts w:ascii="Times New Roman" w:hAnsi="Times New Roman"/>
          <w:sz w:val="20"/>
        </w:rPr>
        <w:t xml:space="preserve">. The validity, construction and effect of the Plan, of Grant Agreements entered into pursuant to the Plan, and of any rules, regulations, determinations or decisions made by the Administrator relating to the Plan or such Grant Agreements, and the rights of any and all persons having or claiming to have any interest therein or thereunder, shall be determined exclusively in accordance with applicable federal laws and the laws of the State of Delaware, without regard to its conflict of laws principles.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Section 409A</w:t>
      </w:r>
      <w:r>
        <w:rPr>
          <w:rFonts w:ascii="Times New Roman" w:hAnsi="Times New Roman"/>
          <w:sz w:val="20"/>
        </w:rPr>
        <w:t xml:space="preserve">. The Plan and all Awards granted hereunder are intended to comply with, or otherwise be exempt from, Section 409A of the Code. The Plan and all Awards granted under the Plan shall be administered, interpreted, and construed in a manner consistent with Section 409A of the Code to the extent necessary to avoid the imposition of additional taxes under Section 409A(a)(1)(B) of the Code. Should any provision of the Plan, any Grant Agreement, or any other agreement or arrangement contemplated by the Plan be found not to comply with, or otherwise be exempt from, the provisions of Section 409A of the Code, such provision shall be modified and given effect (retroactively if necessary), in the sole discretion of the Administrator, and without the consent of the holder of the Award, in such manner as the Administrator determines to be necessary or appropriate to comply with, or to effectuate an exemption from, Section 409A of the Code. Notwithstanding anything in the Plan to the contrary, in no event shall the Administrator exercise its discretion to accelerate the payment or settlement of an Award where such payment or settlement constitutes deferred compensation within the meaning of Section 409A of the Code unless, and solely to the extent that, such accelerated payment or settlement is permissible under Treasury Regulation section 1.409A-3(j)(4) or any successor provision. Notwithstanding any provision of the Plan or any Grant Agreement, the Company makes no representation that Awards shall be exempt from or comply with Section 409A of the Code. Neither the Company nor any Affiliate shall be liable for any tax, penalty or interest imposed on an Award recipient by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Effective Date; Termination Date</w:t>
      </w:r>
      <w:r>
        <w:rPr>
          <w:rFonts w:ascii="Times New Roman" w:hAnsi="Times New Roman"/>
          <w:sz w:val="20"/>
        </w:rPr>
        <w:t xml:space="preserve">. The Plan is effective as of the date on which the Plan is adopted by the Board, subject to approval of the stockholders within twelve months before or after such date. No Award shall be granted under the Plan after the close of business on the day immediately preceding the tenth anniversary of the effective date of the Plan, or if earlier, the tenth anniversary of the date this Plan is approved by the stockholders. Subject to other applicable provisions of the Plan, all Awards made under the Plan prior to such termination of the Plan shall remain in effect until such Awards have been satisfied or terminated in accordance with the Plan and the terms of such Awards. </w:t>
      </w:r>
    </w:p>
    <w:p>
      <w:pPr>
        <w:pStyle w:val="TextBody"/>
        <w:bidi w:val="0"/>
        <w:spacing w:before="480" w:after="0"/>
        <w:jc w:val="center"/>
        <w:rPr>
          <w:rFonts w:ascii="Times New Roman" w:hAnsi="Times New Roman"/>
          <w:b/>
          <w:sz w:val="20"/>
        </w:rPr>
      </w:pPr>
      <w:r>
        <w:rPr>
          <w:rFonts w:ascii="Times New Roman" w:hAnsi="Times New Roman"/>
          <w:b/>
          <w:sz w:val="20"/>
        </w:rPr>
        <w:t xml:space="preserve">PLAN APPROVAL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the Board: 2/8/2026*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the Stockholders: 2/9/2026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avoidance of doubt, the number of shares available under the Plan pursuant to Section 4 hereof (6,832,554) is calculated on a post-reverse split basis, and accordingly, takes into account the reverse split also approved by the Board on 2/8/2026, which was effective as of, and pursuant to, the filing of the Amended and Restated Certificate of Incorporation of the Company on 2/10/2026.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PROVISIONS FOR CALIFORNIA RESIDENTS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Awards granted to California residents prior to a public offering of capital stock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 Grant Agreement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any Award granted in the form of a stock option pursuant to Section 6(a) of the Plan: (a) the exercise period shall be no more than 120 months from the date the option is granted; (b) the options shall be non-transferable other than by will, by the laws of descent and distribution, or, if and to the extent permitted under the Grant Agreement, to a revocable trust or as permitted by Rule 701 of the Securities Act of 1933, as amended (17 C.F.R. 230.701); and (c) unless employment is terminated for “cause” as defined by applicable law, the terms of the Plan or Grant Agreement, or a contract of employment, the right to exercise the option in the event of termination of employment, to the extent that the Award recipient is entitled to exercise on the date employment terminates, will continue until the earlier of the option expiration date, or: (1) at least 6 months from the date of termination if termination was caused by death or disability; and (2) at least 30 days from the date of termination if termination was caused by other than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an Award, granted pursuant to Section 6(c) of the Plan, that provides the Award recipient the right to purchase stock, the Award shall be non-transferable other than by will, by the laws of descent and distribution, or, if and to the extent permitted under the Grant Agreement, to a revocable trust or as permitted by Rule 701 of the Securities Act of 1933, as amended (17 C.F.R. 230.701). </w:t>
      </w:r>
    </w:p>
    <w:p>
      <w:pPr>
        <w:pStyle w:val="TextBody"/>
        <w:bidi w:val="0"/>
        <w:spacing w:before="120" w:after="0"/>
        <w:jc w:val="left"/>
        <w:rPr>
          <w:rFonts w:ascii="Times New Roman" w:hAnsi="Times New Roman"/>
          <w:sz w:val="20"/>
        </w:rPr>
      </w:pPr>
      <w:r>
        <w:rPr>
          <w:rFonts w:ascii="Times New Roman" w:hAnsi="Times New Roman"/>
          <w:sz w:val="20"/>
        </w:rPr>
        <w:t xml:space="preserve">3. The Plan shall have a termination date of not more than 10 years from the date the Plan is adopted by the Board or the date the Plan is approved by the security holders, whichever is earlier. </w:t>
      </w:r>
    </w:p>
    <w:p>
      <w:pPr>
        <w:pStyle w:val="TextBody"/>
        <w:bidi w:val="0"/>
        <w:spacing w:before="120" w:after="0"/>
        <w:jc w:val="left"/>
        <w:rPr>
          <w:rFonts w:ascii="Times New Roman" w:hAnsi="Times New Roman"/>
          <w:sz w:val="20"/>
        </w:rPr>
      </w:pPr>
      <w:r>
        <w:rPr>
          <w:rFonts w:ascii="Times New Roman" w:hAnsi="Times New Roman"/>
          <w:sz w:val="20"/>
        </w:rPr>
        <w:t xml:space="preserve">4. Security holders representing a majority of the Company’s outstanding securities entitled to vote must approve the Plan by the later of (a) 12 months after the date the Plan is adopted or (b)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 </w:t>
      </w:r>
    </w:p>
    <w:p>
      <w:pPr>
        <w:pStyle w:val="TextBody"/>
        <w:bidi w:val="0"/>
        <w:spacing w:before="120" w:after="0"/>
        <w:jc w:val="left"/>
        <w:rPr>
          <w:rFonts w:ascii="Times New Roman" w:hAnsi="Times New Roman"/>
          <w:sz w:val="20"/>
        </w:rPr>
      </w:pPr>
      <w:r>
        <w:rPr>
          <w:rFonts w:ascii="Times New Roman" w:hAnsi="Times New Roman"/>
          <w:sz w:val="20"/>
        </w:rPr>
        <w:t xml:space="preserve">5. 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provided that for purposes of determining such compliance, any registered domestic partner shall be considered a “family member” as that term is defined in Rule 701. </w:t>
      </w:r>
    </w:p>
    <w:p>
      <w:pPr>
        <w:pStyle w:val="TextBody"/>
        <w:bidi w:val="0"/>
        <w:spacing w:before="120" w:after="0"/>
        <w:jc w:val="left"/>
        <w:rPr>
          <w:rFonts w:ascii="Times New Roman" w:hAnsi="Times New Roman"/>
          <w:sz w:val="20"/>
        </w:rPr>
      </w:pPr>
      <w:r>
        <w:rPr>
          <w:rFonts w:ascii="Times New Roman" w:hAnsi="Times New Roman"/>
          <w:sz w:val="20"/>
        </w:rPr>
        <w:t xml:space="preserve">6. 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Administrator determines that the delivery of Common Stock under the Plan is or may be unlawful under the laws of any applicable jurisdiction, or federal or state securities laws, the right to exercise an Award or receive shares of Common Stock pursuant to an Award shall be suspended until the Administrator determines that such delivery is lawful. The Company shall have no obligation to effect any registration or qualification of the Common Stock under federal or state laws. </w:t>
      </w:r>
    </w:p>
    <w:p>
      <w:pPr>
        <w:pStyle w:val="Normal"/>
        <w:bidi w:val="0"/>
        <w:spacing w:before="0" w:after="0"/>
        <w:jc w:val="left"/>
        <w:rPr>
          <w:sz w:val="4"/>
          <w:szCs w:val="4"/>
        </w:rPr>
      </w:pPr>
      <w:r>
        <w:rPr>
          <w:sz w:val="4"/>
          <w:szCs w:val="4"/>
        </w:rPr>
      </w:r>
      <w:bookmarkStart w:id="13" w:name="d139629dexfilingfees.htm"/>
      <w:bookmarkStart w:id="14" w:name="ksd139629dexfilingfees"/>
      <w:bookmarkStart w:id="15" w:name="d139629dexfilingfees.htm"/>
      <w:bookmarkStart w:id="16" w:name="ksd139629dexfilingfees"/>
      <w:bookmarkEnd w:id="15"/>
      <w:bookmarkEnd w:id="16"/>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Quince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6"/>
        <w:gridCol w:w="1328"/>
        <w:gridCol w:w="1276"/>
        <w:gridCol w:w="1186"/>
        <w:gridCol w:w="1157"/>
        <w:gridCol w:w="1666"/>
        <w:gridCol w:w="1006"/>
        <w:gridCol w:w="139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2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28" w:type="dxa"/>
            <w:tcBorders/>
            <w:shd w:fill="E7E7E2" w:val="clear"/>
            <w:vAlign w:val="center"/>
          </w:tcPr>
          <w:p>
            <w:pPr>
              <w:pStyle w:val="TableContents"/>
              <w:bidi w:val="0"/>
              <w:spacing w:before="0" w:after="283"/>
              <w:jc w:val="left"/>
              <w:rPr/>
            </w:pPr>
            <w:r>
              <w:rPr/>
              <w:t xml:space="preserve">Common Stock, par value $0.001 per share, reserved for future issuance pursuant to the Registrant's 2026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953,929 </w:t>
            </w:r>
          </w:p>
        </w:tc>
        <w:tc>
          <w:tcPr>
            <w:tcW w:w="1157" w:type="dxa"/>
            <w:tcBorders/>
            <w:shd w:fill="E7E7E2" w:val="clear"/>
            <w:vAlign w:val="center"/>
          </w:tcPr>
          <w:p>
            <w:pPr>
              <w:pStyle w:val="TableContents"/>
              <w:bidi w:val="0"/>
              <w:spacing w:before="0" w:after="283"/>
              <w:jc w:val="right"/>
              <w:rPr/>
            </w:pPr>
            <w:r>
              <w:rPr/>
              <w:t xml:space="preserve">$ 27.34 </w:t>
            </w:r>
          </w:p>
        </w:tc>
        <w:tc>
          <w:tcPr>
            <w:tcW w:w="1666" w:type="dxa"/>
            <w:tcBorders/>
            <w:shd w:fill="E7E7E2" w:val="clear"/>
            <w:vAlign w:val="center"/>
          </w:tcPr>
          <w:p>
            <w:pPr>
              <w:pStyle w:val="TableContents"/>
              <w:bidi w:val="0"/>
              <w:spacing w:before="0" w:after="283"/>
              <w:jc w:val="right"/>
              <w:rPr/>
            </w:pPr>
            <w:r>
              <w:rPr/>
              <w:t xml:space="preserve">$ 26,080,418.86 </w:t>
            </w:r>
          </w:p>
        </w:tc>
        <w:tc>
          <w:tcPr>
            <w:tcW w:w="1006" w:type="dxa"/>
            <w:tcBorders/>
            <w:shd w:fill="E7E7E2" w:val="clear"/>
            <w:vAlign w:val="center"/>
          </w:tcPr>
          <w:p>
            <w:pPr>
              <w:pStyle w:val="TableContents"/>
              <w:bidi w:val="0"/>
              <w:spacing w:before="0" w:after="283"/>
              <w:jc w:val="right"/>
              <w:rPr/>
            </w:pPr>
            <w:r>
              <w:rPr/>
              <w:t xml:space="preserve">0.000087 </w:t>
            </w:r>
          </w:p>
        </w:tc>
        <w:tc>
          <w:tcPr>
            <w:tcW w:w="1399" w:type="dxa"/>
            <w:tcBorders/>
            <w:shd w:fill="E7E7E2" w:val="clear"/>
            <w:vAlign w:val="center"/>
          </w:tcPr>
          <w:p>
            <w:pPr>
              <w:pStyle w:val="TableContents"/>
              <w:bidi w:val="0"/>
              <w:spacing w:before="0" w:after="283"/>
              <w:jc w:val="right"/>
              <w:rPr/>
            </w:pPr>
            <w:r>
              <w:rPr/>
              <w:t xml:space="preserve">$ 2,269.00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328" w:type="dxa"/>
            <w:tcBorders/>
            <w:shd w:fill="E7E7E2" w:val="clear"/>
            <w:vAlign w:val="center"/>
          </w:tcPr>
          <w:p>
            <w:pPr>
              <w:pStyle w:val="TableContents"/>
              <w:bidi w:val="0"/>
              <w:spacing w:before="0" w:after="283"/>
              <w:jc w:val="left"/>
              <w:rPr/>
            </w:pPr>
            <w:r>
              <w:rPr/>
              <w:t xml:space="preserve">Common Stock, par value $0.001 per share, reserved for future issuance pursuant to the Registrant's 2026 Employee Stock Purchase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142,045 </w:t>
            </w:r>
          </w:p>
        </w:tc>
        <w:tc>
          <w:tcPr>
            <w:tcW w:w="1157" w:type="dxa"/>
            <w:tcBorders/>
            <w:shd w:fill="E7E7E2" w:val="clear"/>
            <w:vAlign w:val="center"/>
          </w:tcPr>
          <w:p>
            <w:pPr>
              <w:pStyle w:val="TableContents"/>
              <w:bidi w:val="0"/>
              <w:spacing w:before="0" w:after="283"/>
              <w:jc w:val="right"/>
              <w:rPr/>
            </w:pPr>
            <w:r>
              <w:rPr/>
              <w:t xml:space="preserve">$ 23.24 </w:t>
            </w:r>
          </w:p>
        </w:tc>
        <w:tc>
          <w:tcPr>
            <w:tcW w:w="1666" w:type="dxa"/>
            <w:tcBorders/>
            <w:shd w:fill="E7E7E2" w:val="clear"/>
            <w:vAlign w:val="center"/>
          </w:tcPr>
          <w:p>
            <w:pPr>
              <w:pStyle w:val="TableContents"/>
              <w:bidi w:val="0"/>
              <w:spacing w:before="0" w:after="283"/>
              <w:jc w:val="right"/>
              <w:rPr/>
            </w:pPr>
            <w:r>
              <w:rPr/>
              <w:t xml:space="preserve">$ 3,301,125.80 </w:t>
            </w:r>
          </w:p>
        </w:tc>
        <w:tc>
          <w:tcPr>
            <w:tcW w:w="1006" w:type="dxa"/>
            <w:tcBorders/>
            <w:shd w:fill="E7E7E2" w:val="clear"/>
            <w:vAlign w:val="center"/>
          </w:tcPr>
          <w:p>
            <w:pPr>
              <w:pStyle w:val="TableContents"/>
              <w:bidi w:val="0"/>
              <w:spacing w:before="0" w:after="283"/>
              <w:jc w:val="right"/>
              <w:rPr/>
            </w:pPr>
            <w:r>
              <w:rPr/>
              <w:t xml:space="preserve">0.000087 </w:t>
            </w:r>
          </w:p>
        </w:tc>
        <w:tc>
          <w:tcPr>
            <w:tcW w:w="1399" w:type="dxa"/>
            <w:tcBorders/>
            <w:shd w:fill="E7E7E2" w:val="clear"/>
            <w:vAlign w:val="center"/>
          </w:tcPr>
          <w:p>
            <w:pPr>
              <w:pStyle w:val="TableContents"/>
              <w:bidi w:val="0"/>
              <w:spacing w:before="0" w:after="283"/>
              <w:jc w:val="right"/>
              <w:rPr/>
            </w:pPr>
            <w:r>
              <w:rPr/>
              <w:t xml:space="preserve">$ 287.20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328" w:type="dxa"/>
            <w:tcBorders/>
            <w:shd w:fill="E7E7E2" w:val="clear"/>
            <w:vAlign w:val="center"/>
          </w:tcPr>
          <w:p>
            <w:pPr>
              <w:pStyle w:val="TableContents"/>
              <w:bidi w:val="0"/>
              <w:spacing w:before="0" w:after="283"/>
              <w:jc w:val="left"/>
              <w:rPr/>
            </w:pPr>
            <w:r>
              <w:rPr/>
              <w:t xml:space="preserve">Common Stock, par value $0.001 per share, issuable upon exercise of outstanding stock options granted under the Orphai Therapeutics Inc. 2013 Employee, Director and Consultant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81,373 </w:t>
            </w:r>
          </w:p>
        </w:tc>
        <w:tc>
          <w:tcPr>
            <w:tcW w:w="1157" w:type="dxa"/>
            <w:tcBorders/>
            <w:shd w:fill="E7E7E2" w:val="clear"/>
            <w:vAlign w:val="center"/>
          </w:tcPr>
          <w:p>
            <w:pPr>
              <w:pStyle w:val="TableContents"/>
              <w:bidi w:val="0"/>
              <w:spacing w:before="0" w:after="283"/>
              <w:jc w:val="right"/>
              <w:rPr/>
            </w:pPr>
            <w:r>
              <w:rPr/>
              <w:t xml:space="preserve">$ 4.86 </w:t>
            </w:r>
          </w:p>
        </w:tc>
        <w:tc>
          <w:tcPr>
            <w:tcW w:w="1666" w:type="dxa"/>
            <w:tcBorders/>
            <w:shd w:fill="E7E7E2" w:val="clear"/>
            <w:vAlign w:val="center"/>
          </w:tcPr>
          <w:p>
            <w:pPr>
              <w:pStyle w:val="TableContents"/>
              <w:bidi w:val="0"/>
              <w:spacing w:before="0" w:after="283"/>
              <w:jc w:val="right"/>
              <w:rPr/>
            </w:pPr>
            <w:r>
              <w:rPr/>
              <w:t xml:space="preserve">$ 395,472.78 </w:t>
            </w:r>
          </w:p>
        </w:tc>
        <w:tc>
          <w:tcPr>
            <w:tcW w:w="1006" w:type="dxa"/>
            <w:tcBorders/>
            <w:shd w:fill="E7E7E2" w:val="clear"/>
            <w:vAlign w:val="center"/>
          </w:tcPr>
          <w:p>
            <w:pPr>
              <w:pStyle w:val="TableContents"/>
              <w:bidi w:val="0"/>
              <w:spacing w:before="0" w:after="283"/>
              <w:jc w:val="right"/>
              <w:rPr/>
            </w:pPr>
            <w:r>
              <w:rPr/>
              <w:t xml:space="preserve">0.000087 </w:t>
            </w:r>
          </w:p>
        </w:tc>
        <w:tc>
          <w:tcPr>
            <w:tcW w:w="1399" w:type="dxa"/>
            <w:tcBorders/>
            <w:shd w:fill="E7E7E2" w:val="clear"/>
            <w:vAlign w:val="center"/>
          </w:tcPr>
          <w:p>
            <w:pPr>
              <w:pStyle w:val="TableContents"/>
              <w:bidi w:val="0"/>
              <w:spacing w:before="0" w:after="283"/>
              <w:jc w:val="right"/>
              <w:rPr/>
            </w:pPr>
            <w:r>
              <w:rPr/>
              <w:t xml:space="preserve">$ 34.41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328" w:type="dxa"/>
            <w:tcBorders/>
            <w:shd w:fill="E7E7E2" w:val="clear"/>
            <w:vAlign w:val="center"/>
          </w:tcPr>
          <w:p>
            <w:pPr>
              <w:pStyle w:val="TableContents"/>
              <w:bidi w:val="0"/>
              <w:spacing w:before="0" w:after="283"/>
              <w:jc w:val="left"/>
              <w:rPr/>
            </w:pPr>
            <w:r>
              <w:rPr/>
              <w:t xml:space="preserve">Common Stock, par value $0.001 per share, issuable upon exercise of outstanding stock options granted under the Orphai Therapeutics Inc. 2026 Stock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1,164,415 </w:t>
            </w:r>
          </w:p>
        </w:tc>
        <w:tc>
          <w:tcPr>
            <w:tcW w:w="1157" w:type="dxa"/>
            <w:tcBorders/>
            <w:shd w:fill="E7E7E2" w:val="clear"/>
            <w:vAlign w:val="center"/>
          </w:tcPr>
          <w:p>
            <w:pPr>
              <w:pStyle w:val="TableContents"/>
              <w:bidi w:val="0"/>
              <w:spacing w:before="0" w:after="283"/>
              <w:jc w:val="right"/>
              <w:rPr/>
            </w:pPr>
            <w:r>
              <w:rPr/>
              <w:t xml:space="preserve">$ 14.70 </w:t>
            </w:r>
          </w:p>
        </w:tc>
        <w:tc>
          <w:tcPr>
            <w:tcW w:w="1666" w:type="dxa"/>
            <w:tcBorders/>
            <w:shd w:fill="E7E7E2" w:val="clear"/>
            <w:vAlign w:val="center"/>
          </w:tcPr>
          <w:p>
            <w:pPr>
              <w:pStyle w:val="TableContents"/>
              <w:bidi w:val="0"/>
              <w:spacing w:before="0" w:after="283"/>
              <w:jc w:val="right"/>
              <w:rPr/>
            </w:pPr>
            <w:r>
              <w:rPr/>
              <w:t xml:space="preserve">$ 17,116,900.50 </w:t>
            </w:r>
          </w:p>
        </w:tc>
        <w:tc>
          <w:tcPr>
            <w:tcW w:w="1006" w:type="dxa"/>
            <w:tcBorders/>
            <w:shd w:fill="E7E7E2" w:val="clear"/>
            <w:vAlign w:val="center"/>
          </w:tcPr>
          <w:p>
            <w:pPr>
              <w:pStyle w:val="TableContents"/>
              <w:bidi w:val="0"/>
              <w:spacing w:before="0" w:after="283"/>
              <w:jc w:val="right"/>
              <w:rPr/>
            </w:pPr>
            <w:r>
              <w:rPr/>
              <w:t xml:space="preserve">0.000087 </w:t>
            </w:r>
          </w:p>
        </w:tc>
        <w:tc>
          <w:tcPr>
            <w:tcW w:w="1399" w:type="dxa"/>
            <w:tcBorders/>
            <w:shd w:fill="E7E7E2" w:val="clear"/>
            <w:vAlign w:val="center"/>
          </w:tcPr>
          <w:p>
            <w:pPr>
              <w:pStyle w:val="TableContents"/>
              <w:bidi w:val="0"/>
              <w:spacing w:before="0" w:after="283"/>
              <w:jc w:val="right"/>
              <w:rPr/>
            </w:pPr>
            <w:r>
              <w:rPr/>
              <w:t xml:space="preserve">$ 1,489.17 </w:t>
            </w:r>
          </w:p>
        </w:tc>
      </w:tr>
      <w:tr>
        <w:trPr/>
        <w:tc>
          <w:tcPr>
            <w:tcW w:w="4977" w:type="dxa"/>
            <w:gridSpan w:val="5"/>
            <w:tcBorders/>
            <w:vAlign w:val="center"/>
          </w:tcPr>
          <w:p>
            <w:pPr>
              <w:pStyle w:val="TableContents"/>
              <w:bidi w:val="0"/>
              <w:spacing w:before="0" w:after="0"/>
              <w:ind w:left="0" w:right="0" w:hanging="0"/>
              <w:jc w:val="right"/>
              <w:rPr/>
            </w:pPr>
            <w:r>
              <w:rPr/>
              <w:t>Total Offering Amounts:</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7" w:name="MaxAggtOfferingPrice"/>
            <w:bookmarkEnd w:id="17"/>
            <w:r>
              <w:rPr/>
              <w:t xml:space="preserve">$ 46,893,917.94 </w:t>
            </w:r>
          </w:p>
        </w:tc>
        <w:tc>
          <w:tcPr>
            <w:tcW w:w="1006" w:type="dxa"/>
            <w:tcBorders/>
            <w:vAlign w:val="center"/>
          </w:tcPr>
          <w:p>
            <w:pPr>
              <w:pStyle w:val="TableContents"/>
              <w:bidi w:val="0"/>
              <w:spacing w:before="0" w:after="283"/>
              <w:jc w:val="left"/>
              <w:rPr>
                <w:sz w:val="4"/>
                <w:szCs w:val="4"/>
              </w:rPr>
            </w:pPr>
            <w:r>
              <w:rPr>
                <w:sz w:val="4"/>
                <w:szCs w:val="4"/>
              </w:rPr>
            </w:r>
          </w:p>
        </w:tc>
        <w:tc>
          <w:tcPr>
            <w:tcW w:w="139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$ 4,079.78 </w:t>
            </w:r>
          </w:p>
        </w:tc>
      </w:tr>
      <w:tr>
        <w:trPr/>
        <w:tc>
          <w:tcPr>
            <w:tcW w:w="4977" w:type="dxa"/>
            <w:gridSpan w:val="5"/>
            <w:tcBorders/>
            <w:vAlign w:val="center"/>
          </w:tcPr>
          <w:p>
            <w:pPr>
              <w:pStyle w:val="TableContents"/>
              <w:bidi w:val="0"/>
              <w:spacing w:before="0" w:after="0"/>
              <w:ind w:left="0" w:right="0" w:hanging="0"/>
              <w:jc w:val="right"/>
              <w:rPr/>
            </w:pPr>
            <w:r>
              <w:rPr/>
              <w:t xml:space="preserve">Total Fee Offsets: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977" w:type="dxa"/>
            <w:gridSpan w:val="5"/>
            <w:tcBorders/>
            <w:vAlign w:val="center"/>
          </w:tcPr>
          <w:p>
            <w:pPr>
              <w:pStyle w:val="TableContents"/>
              <w:bidi w:val="0"/>
              <w:spacing w:before="0" w:after="0"/>
              <w:ind w:left="0" w:right="0" w:hanging="0"/>
              <w:jc w:val="right"/>
              <w:rPr/>
            </w:pPr>
            <w:r>
              <w:rPr/>
              <w:t xml:space="preserve">Net Fee Due: </w:t>
            </w:r>
          </w:p>
        </w:tc>
        <w:tc>
          <w:tcPr>
            <w:tcW w:w="115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0"/>
              <w:ind w:left="0" w:right="0" w:hanging="0"/>
              <w:jc w:val="right"/>
              <w:rPr/>
            </w:pPr>
            <w:bookmarkStart w:id="20" w:name="NetFeeAmt"/>
            <w:bookmarkEnd w:id="20"/>
            <w:r>
              <w:rPr/>
              <w:t xml:space="preserve">$ 4,079.78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630"/>
        <w:gridCol w:w="8376"/>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416(a) promulgated under the Securities Act of 1933, as amended (the "Securities Act"), this Registration Statement shall also cover any additional shares of common stock of Quince Therapeutics, Inc. (the "Registrant") that become issuable under the Registrant's 2026 Equity Incentive Plan (the "2026 EIP") by reason of any stock dividend, stock split, recapitalization or other similar transaction. The amount registered represents 953,929 shares of common stock reserved for issuance under the 2026 EIP, consisting of the initial share reserve of 821,872 shares plus up to 132,057 shares subject to outstanding stock awards granted under the Prior Plans (as defined in the 2026 EIP) that may become available for issuance under the 2026 EIP, as described in the Registration Statement. The proposed maximum offering price per unit and maximum aggregate offering price are estimated in accordance with Rules 457(c) and 457(h) solely for the purpose of calculating the registration fee on the basis of $27.34 per share, which is the average of the high and low selling prices per share of the Registrant's common stock on October 7, 2026, as reported on Nasdaq. </w:t>
            </w:r>
          </w:p>
        </w:tc>
      </w:tr>
      <w:tr>
        <w:trPr/>
        <w:tc>
          <w:tcPr>
            <w:tcW w:w="1829" w:type="dxa"/>
            <w:gridSpan w:val="2"/>
            <w:tcBorders/>
            <w:vAlign w:val="center"/>
          </w:tcPr>
          <w:p>
            <w:pPr>
              <w:pStyle w:val="HorizontalLine"/>
              <w:pBdr>
                <w:bottom w:val="double" w:sz="2" w:space="0" w:color="808080"/>
              </w:pBdr>
              <w:bidi w:val="0"/>
              <w:spacing w:before="0" w:after="283"/>
              <w:jc w:val="left"/>
              <w:rPr/>
            </w:pPr>
            <w:r>
              <w:rPr/>
            </w:r>
          </w:p>
        </w:tc>
        <w:tc>
          <w:tcPr>
            <w:tcW w:w="837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Pursuant to Rule 416(a) promulgated under the Securities Act, this Registration Statement shall also cover any additional shares of common stock of the Registrant that become issuable under the Registrant's 2026 Employee Stock Purchase Plan (the "2026 ESPP") by reason of any stock dividend, stock split, recapitalization or other similar transaction. The amount registered represents the initial share reserve of 142,045 shares of common stock under the 2026 ESPP. The proposed maximum offering price per unit and maximum aggregate offering price are estimated in accordance with Rules 457(c) and 457(h) solely for the purpose of calculating the registration fee on the basis of $23.24 per share, which is 85% of $27.34, the average of the high and low selling prices per share of the Registrant's common stock on October 7, 2026, as reported on Nasdaq. </w:t>
            </w:r>
          </w:p>
        </w:tc>
      </w:tr>
      <w:tr>
        <w:trPr/>
        <w:tc>
          <w:tcPr>
            <w:tcW w:w="1829" w:type="dxa"/>
            <w:gridSpan w:val="2"/>
            <w:tcBorders/>
            <w:vAlign w:val="center"/>
          </w:tcPr>
          <w:p>
            <w:pPr>
              <w:pStyle w:val="HorizontalLine"/>
              <w:pBdr>
                <w:bottom w:val="double" w:sz="2" w:space="0" w:color="808080"/>
              </w:pBdr>
              <w:bidi w:val="0"/>
              <w:spacing w:before="0" w:after="283"/>
              <w:jc w:val="left"/>
              <w:rPr/>
            </w:pPr>
            <w:r>
              <w:rPr/>
            </w:r>
          </w:p>
        </w:tc>
        <w:tc>
          <w:tcPr>
            <w:tcW w:w="837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Pursuant to Rule 416(a) promulgated under the Securities Act, this Registration Statement shall also cover any additional shares of common stock of the Registrant that become issuable under the Orphai Therapeutics Inc. 2013 Employee, Director and Consultant Equity Incentive Plan (the "2013 Orphai Plan") by reason of any stock dividend, stock split, recapitalization or other similar transaction. The amount registered represents 81,373 shares of common stock issuable upon exercise of outstanding stock options granted under the 2013 Orphai Plan and assumed by the Registrant in connection with the Merger. Any shares subject to such assumed stock options would become "Returning Shares" available for issuance under the 2026 EIP to the extent such shares (A) are not issued because the applicable stock option or any portion thereof expires or otherwise terminates without all of the shares covered thereby having been issued, (B) are not issued because the applicable stock option or any portion thereof is settled in cash, (C) are forfeited back to or repurchased by the Registrant because of the failure to meet a contingency or condition required for the vesting of such shares, (D) are withheld or reacquired to satisfy the exercise price or (E) are withheld or reacquired to satisfy a tax withholding obligation. The proposed maximum offering price per unit and maximum aggregate offering price are calculated pursuant to Rule 457(h)(1) solely for the purpose of calculating the registration fee using the weighted-average exercise price of such stock options of $4.86 per share. </w:t>
            </w:r>
          </w:p>
        </w:tc>
      </w:tr>
      <w:tr>
        <w:trPr/>
        <w:tc>
          <w:tcPr>
            <w:tcW w:w="1829" w:type="dxa"/>
            <w:gridSpan w:val="2"/>
            <w:tcBorders/>
            <w:vAlign w:val="center"/>
          </w:tcPr>
          <w:p>
            <w:pPr>
              <w:pStyle w:val="HorizontalLine"/>
              <w:pBdr>
                <w:bottom w:val="double" w:sz="2" w:space="0" w:color="808080"/>
              </w:pBdr>
              <w:bidi w:val="0"/>
              <w:spacing w:before="0" w:after="283"/>
              <w:jc w:val="left"/>
              <w:rPr/>
            </w:pPr>
            <w:r>
              <w:rPr/>
            </w:r>
          </w:p>
        </w:tc>
        <w:tc>
          <w:tcPr>
            <w:tcW w:w="8376"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Pursuant to Rule 416(a) promulgated under the Securities Act, this Registration Statement shall also cover any additional shares of common stock of the Registrant that become issuable under the Orphai Therapeutics Inc. 2026 Stock Incentive Plan (the "2026 Orphai Plan") by reason of any stock dividend, stock split, recapitalization or other similar transaction. The amount registered represents 1,164,415 shares of common stock issuable upon exercise of outstanding stock options granted under the 2026 Orphai Plan and assumed by the Registrant in connection with the Merger. Any shares subject to such assumed stock options would become "Returning Shares" available for issuance under the 2026 EIP to the extent such shares (A) are not issued because the applicable stock option or any portion thereof expires or otherwise terminates without all of the shares covered thereby having been issued, (B) are not issued because the applicable stock option or any portion thereof is settled in cash, (C) are forfeited back to or repurchased by the Registrant because of the failure to meet a contingency or condition required for the vesting of such shares, (D) are withheld or reacquired to satisfy the exercise price or (E) are withheld or reacquired to satisfy a tax withholding obligation. The proposed maximum offering price per unit and maximum aggregate offering price are calculated pursuant to Rule 457(h)(1) solely for the purpose of calculating the registration fee using the weighted-average exercise price of such stock options of $14.70 per share. </w:t>
            </w:r>
          </w:p>
        </w:tc>
      </w:tr>
      <w:tr>
        <w:trPr/>
        <w:tc>
          <w:tcPr>
            <w:tcW w:w="1829" w:type="dxa"/>
            <w:gridSpan w:val="2"/>
            <w:tcBorders/>
            <w:vAlign w:val="center"/>
          </w:tcPr>
          <w:p>
            <w:pPr>
              <w:pStyle w:val="HorizontalLine"/>
              <w:pBdr>
                <w:bottom w:val="double" w:sz="2" w:space="0" w:color="808080"/>
              </w:pBdr>
              <w:bidi w:val="0"/>
              <w:spacing w:before="0" w:after="283"/>
              <w:jc w:val="left"/>
              <w:rPr/>
            </w:pPr>
            <w:r>
              <w:rPr/>
            </w:r>
          </w:p>
        </w:tc>
        <w:tc>
          <w:tcPr>
            <w:tcW w:w="837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662774/000119312526151364/qncx-20251231.htm" TargetMode="External"/><Relationship Id="rId3" Type="http://schemas.openxmlformats.org/officeDocument/2006/relationships/hyperlink" Target="http://www.sec.gov/Archives/edgar/data/../../../ix?doc=/Archives/edgar/data/0001662774/000119312526182255/qncx-20260424.htm" TargetMode="External"/><Relationship Id="rId4" Type="http://schemas.openxmlformats.org/officeDocument/2006/relationships/hyperlink" Target="http://www.sec.gov/Archives/edgar/data/../../../ix?doc=/Archives/edgar/data/0001662774/000119312526217098/qncx-20260331.htm" TargetMode="External"/><Relationship Id="rId5" Type="http://schemas.openxmlformats.org/officeDocument/2006/relationships/hyperlink" Target="http://www.sec.gov/Archives/edgar/data/../../../ix?doc=/Archives/edgar/data/0001662774/000119312526352201/qncx-20260630.htm" TargetMode="External"/><Relationship Id="rId6" Type="http://schemas.openxmlformats.org/officeDocument/2006/relationships/hyperlink" Target="http://www.sec.gov/Archives/edgar/data/../../../ix?doc=/Archives/edgar/data/0001662774/000119312526029524/d61547d8k.htm" TargetMode="External"/><Relationship Id="rId7" Type="http://schemas.openxmlformats.org/officeDocument/2006/relationships/hyperlink" Target="http://www.sec.gov/Archives/edgar/data/../../../ix?doc=/Archives/edgar/data/0001662774/000119312526033758/d52597d8k.htm" TargetMode="External"/><Relationship Id="rId8" Type="http://schemas.openxmlformats.org/officeDocument/2006/relationships/hyperlink" Target="http://www.sec.gov/Archives/edgar/data/../../../ix?doc=/Archives/edgar/data/0001662774/000119312526047544/d89820d8k.htm" TargetMode="External"/><Relationship Id="rId9" Type="http://schemas.openxmlformats.org/officeDocument/2006/relationships/hyperlink" Target="http://www.sec.gov/Archives/edgar/data/../../../ix?doc=/Archives/edgar/data/0001662774/000119312526117794/d122428d8k.htm" TargetMode="External"/><Relationship Id="rId10" Type="http://schemas.openxmlformats.org/officeDocument/2006/relationships/hyperlink" Target="http://www.sec.gov/Archives/edgar/data/../../../ix?doc=/Archives/edgar/data/0001662774/000119312526130489/d57124d8k.htm" TargetMode="External"/><Relationship Id="rId11" Type="http://schemas.openxmlformats.org/officeDocument/2006/relationships/hyperlink" Target="http://www.sec.gov/Archives/edgar/data/../../../ix?doc=/Archives/edgar/data/0001662774/000119312526149021/d115661d8k.htm" TargetMode="External"/><Relationship Id="rId12" Type="http://schemas.openxmlformats.org/officeDocument/2006/relationships/hyperlink" Target="http://www.sec.gov/Archives/edgar/data/../../../ix?doc=/Archives/edgar/data/0001662774/000119312526170572/d27180d8k.htm" TargetMode="External"/><Relationship Id="rId13" Type="http://schemas.openxmlformats.org/officeDocument/2006/relationships/hyperlink" Target="http://www.sec.gov/Archives/edgar/data/../../../ix?doc=/Archives/edgar/data/0001662774/000119312526187243/d623526d8k.htm" TargetMode="External"/><Relationship Id="rId14" Type="http://schemas.openxmlformats.org/officeDocument/2006/relationships/hyperlink" Target="http://www.sec.gov/Archives/edgar/data/../../../ix?doc=/Archives/edgar/data/0001662774/000119312526228133/d109149d8k.htm" TargetMode="External"/><Relationship Id="rId15" Type="http://schemas.openxmlformats.org/officeDocument/2006/relationships/hyperlink" Target="http://www.sec.gov/Archives/edgar/data/../../../ix?doc=/Archives/edgar/data/0001662774/000119312526228956/d135388d8ka.htm" TargetMode="External"/><Relationship Id="rId16" Type="http://schemas.openxmlformats.org/officeDocument/2006/relationships/hyperlink" Target="http://www.sec.gov/Archives/edgar/data/../../../ix?doc=/Archives/edgar/data/0001662774/000119312526324786/d163930d8ka.htm" TargetMode="External"/><Relationship Id="rId17" Type="http://schemas.openxmlformats.org/officeDocument/2006/relationships/hyperlink" Target="http://www.sec.gov/Archives/edgar/data/../../../ix?doc=/Archives/edgar/data/0001662774/000119312526234858/d139014d8k.htm" TargetMode="External"/><Relationship Id="rId18" Type="http://schemas.openxmlformats.org/officeDocument/2006/relationships/hyperlink" Target="http://www.sec.gov/Archives/edgar/data/../../../ix?doc=/Archives/edgar/data/0001662774/000119312526267862/d124733d8k.htm" TargetMode="External"/><Relationship Id="rId19" Type="http://schemas.openxmlformats.org/officeDocument/2006/relationships/hyperlink" Target="http://www.sec.gov/Archives/edgar/data/../../../ix?doc=/Archives/edgar/data/0001662774/000119312526284089/d168420d8k.htm" TargetMode="External"/><Relationship Id="rId20" Type="http://schemas.openxmlformats.org/officeDocument/2006/relationships/hyperlink" Target="http://www.sec.gov/Archives/edgar/data/../../../ix?doc=/Archives/edgar/data/0001662774/000119312526285572/d30985d8ka.htm" TargetMode="External"/><Relationship Id="rId21" Type="http://schemas.openxmlformats.org/officeDocument/2006/relationships/hyperlink" Target="http://www.sec.gov/Archives/edgar/data/../../../ix?doc=/Archives/edgar/data/0001662774/000119312526328784/d160394d8k.htm" TargetMode="External"/><Relationship Id="rId22" Type="http://schemas.openxmlformats.org/officeDocument/2006/relationships/hyperlink" Target="http://www.sec.gov/Archives/edgar/data/../../../ix?doc=/Archives/edgar/data/0001662774/000119312526353141/d379347d8k.htm" TargetMode="External"/><Relationship Id="rId23" Type="http://schemas.openxmlformats.org/officeDocument/2006/relationships/hyperlink" Target="http://www.sec.gov/Archives/edgar/data/../../../ix?doc=/Archives/edgar/data/0001662774/000119312526371389/d124795d8k.htm" TargetMode="External"/><Relationship Id="rId24" Type="http://schemas.openxmlformats.org/officeDocument/2006/relationships/hyperlink" Target="http://www.sec.gov/Archives/edgar/data/../../../ix?doc=/Archives/edgar/data/0001662774/000119312526382838/d105528d8k.htm" TargetMode="External"/><Relationship Id="rId25" Type="http://schemas.openxmlformats.org/officeDocument/2006/relationships/hyperlink" Target="http://www.sec.gov/Archives/edgar/data/../../../ix?doc=/Archives/edgar/data/0001662774/000119312526390652/qncx-20260908.htm" TargetMode="External"/><Relationship Id="rId26" Type="http://schemas.openxmlformats.org/officeDocument/2006/relationships/hyperlink" Target="http://www.sec.gov/Archives/edgar/data/../../../ix?doc=/Archives/edgar/data/0001662774/000119312526411260/d171747d8k.htm" TargetMode="External"/><Relationship Id="rId27" Type="http://schemas.openxmlformats.org/officeDocument/2006/relationships/hyperlink" Target="http://www.sec.gov/Archives/edgar/data/../../../ix?doc=/Archives/edgar/data/0001662774/000119312526415730/d115238d8k.htm" TargetMode="External"/><Relationship Id="rId28" Type="http://schemas.openxmlformats.org/officeDocument/2006/relationships/hyperlink" Target="http://www.sec.gov/Archives/edgar/data/1662774/000156459021009867/crtx-ex43_435.htm" TargetMode="External"/><Relationship Id="rId29" Type="http://schemas.openxmlformats.org/officeDocument/2006/relationships/hyperlink" Target="http://www.sec.gov/Archives/edgar/data/1662774/000119312526228133/d109149dex21.htm" TargetMode="External"/><Relationship Id="rId30" Type="http://schemas.openxmlformats.org/officeDocument/2006/relationships/hyperlink" Target="http://www.sec.gov/Archives/edgar/data/1662774/000119312519145468/d747357dex31.htm" TargetMode="External"/><Relationship Id="rId31" Type="http://schemas.openxmlformats.org/officeDocument/2006/relationships/hyperlink" Target="http://www.sec.gov/Archives/edgar/data/1662774/000119312522207867/d346512dex31.htm" TargetMode="External"/><Relationship Id="rId32" Type="http://schemas.openxmlformats.org/officeDocument/2006/relationships/hyperlink" Target="http://www.sec.gov/Archives/edgar/data/1662774/000119312526149021/d115661dex31.htm" TargetMode="External"/><Relationship Id="rId33" Type="http://schemas.openxmlformats.org/officeDocument/2006/relationships/hyperlink" Target="http://www.sec.gov/Archives/edgar/data/1662774/000119312526284089/d168420dex31.htm" TargetMode="External"/><Relationship Id="rId34" Type="http://schemas.openxmlformats.org/officeDocument/2006/relationships/hyperlink" Target="http://www.sec.gov/Archives/edgar/data/1662774/000119312522207867/d346512dex32.htm" TargetMode="External"/><Relationship Id="rId35" Type="http://schemas.openxmlformats.org/officeDocument/2006/relationships/hyperlink" Target="http://www.sec.gov/Archives/edgar/data/1662774/000119312526151364/qncx-ex3_4.htm" TargetMode="External"/><Relationship Id="rId36" Type="http://schemas.openxmlformats.org/officeDocument/2006/relationships/hyperlink" Target="http://www.sec.gov/Archives/edgar/data/1662774/000119312526228133/d109149dex31.htm" TargetMode="External"/><Relationship Id="rId37" Type="http://schemas.openxmlformats.org/officeDocument/2006/relationships/hyperlink" Target="http://www.sec.gov/Archives/edgar/data/1662774/000119312526415730/d115238dex101.htm" TargetMode="External"/><Relationship Id="rId38" Type="http://schemas.openxmlformats.org/officeDocument/2006/relationships/hyperlink" Target="http://www.sec.gov/Archives/edgar/data/1662774/000119312526415730/d115238dex101.htm" TargetMode="External"/><Relationship Id="rId39" Type="http://schemas.openxmlformats.org/officeDocument/2006/relationships/hyperlink" Target="http://www.sec.gov/Archives/edgar/data/1662774/000119312526415730/d115238dex101.htm" TargetMode="External"/><Relationship Id="rId40" Type="http://schemas.openxmlformats.org/officeDocument/2006/relationships/hyperlink" Target="http://www.sec.gov/Archives/edgar/data/1662774/000119312526415730/d115238dex102.htm" TargetMode="External"/><Relationship Id="rId41" Type="http://schemas.openxmlformats.org/officeDocument/2006/relationships/image" Target="media/image1.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21459</Words>
  <Characters>110941</Characters>
  <CharactersWithSpaces>132550</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EX-99.6</dc:title>
</cp:coreProperties>
</file>